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81A1B">
      <w:pPr>
        <w:pStyle w:val="41"/>
        <w:spacing w:after="0" w:line="560" w:lineRule="exact"/>
        <w:rPr>
          <w:rFonts w:eastAsia="楷体_GB2312"/>
          <w:i/>
          <w:color w:val="FF0000"/>
          <w:lang w:eastAsia="zh-CN"/>
        </w:rPr>
      </w:pPr>
      <w:bookmarkStart w:id="0" w:name="_Hlk219872344"/>
      <w:r>
        <w:rPr>
          <w:rFonts w:eastAsia="楷体_GB2312"/>
          <w:i/>
          <w:color w:val="FF0000"/>
          <w:lang w:eastAsia="zh-CN"/>
        </w:rPr>
        <w:t>【注：本合同版本根据人民银行、金融监管总局资产证券化相关规定以及交易商协会相关自律规则起草，作为个人消费</w:t>
      </w:r>
      <w:r>
        <w:rPr>
          <w:rFonts w:eastAsia="楷体_GB2312"/>
          <w:i/>
          <w:color w:val="FF0000"/>
          <w:lang w:val="en-US" w:eastAsia="zh-CN"/>
        </w:rPr>
        <w:t>类</w:t>
      </w:r>
      <w:r>
        <w:rPr>
          <w:rFonts w:eastAsia="楷体_GB2312"/>
          <w:i/>
          <w:color w:val="FF0000"/>
          <w:lang w:eastAsia="zh-CN"/>
        </w:rPr>
        <w:t>贷款资产支持证券的标准范本供市场机构参考</w:t>
      </w:r>
      <w:r>
        <w:rPr>
          <w:rStyle w:val="29"/>
          <w:rFonts w:eastAsia="楷体_GB2312"/>
          <w:i/>
          <w:color w:val="FF0000"/>
          <w:lang w:eastAsia="zh-CN"/>
        </w:rPr>
        <w:footnoteReference w:id="0"/>
      </w:r>
      <w:r>
        <w:rPr>
          <w:rFonts w:eastAsia="楷体_GB2312"/>
          <w:i/>
          <w:color w:val="FF0000"/>
          <w:lang w:eastAsia="zh-CN"/>
        </w:rPr>
        <w:t>。开展个人消费</w:t>
      </w:r>
      <w:r>
        <w:rPr>
          <w:rFonts w:eastAsia="楷体_GB2312"/>
          <w:i/>
          <w:color w:val="FF0000"/>
          <w:lang w:val="en-US" w:eastAsia="zh-CN"/>
        </w:rPr>
        <w:t>类</w:t>
      </w:r>
      <w:r>
        <w:rPr>
          <w:rFonts w:eastAsia="楷体_GB2312"/>
          <w:i/>
          <w:color w:val="FF0000"/>
          <w:lang w:eastAsia="zh-CN"/>
        </w:rPr>
        <w:t>贷款资产支持证券的贷款</w:t>
      </w:r>
      <w:r>
        <w:rPr>
          <w:rFonts w:eastAsia="楷体_GB2312"/>
          <w:i/>
          <w:color w:val="FF0000"/>
          <w:lang w:val="en-US" w:eastAsia="zh-CN"/>
        </w:rPr>
        <w:t>资产</w:t>
      </w:r>
      <w:r>
        <w:rPr>
          <w:rFonts w:eastAsia="楷体_GB2312"/>
          <w:i/>
          <w:color w:val="FF0000"/>
          <w:lang w:eastAsia="zh-CN"/>
        </w:rPr>
        <w:t>应符合相关监管要求及交易商协会相关自律规则。】</w:t>
      </w:r>
    </w:p>
    <w:bookmarkEnd w:id="0"/>
    <w:p w14:paraId="450E431E">
      <w:pPr>
        <w:pStyle w:val="41"/>
        <w:spacing w:after="0" w:line="560" w:lineRule="exact"/>
        <w:jc w:val="right"/>
        <w:rPr>
          <w:rFonts w:eastAsia="楷体_GB2312"/>
          <w:lang w:val="en-US" w:eastAsia="zh-CN"/>
        </w:rPr>
      </w:pPr>
      <w:r>
        <w:rPr>
          <w:rFonts w:eastAsia="楷体_GB2312"/>
          <w:lang w:val="en-US" w:eastAsia="zh-CN"/>
        </w:rPr>
        <w:t>合同编号：【主定义表编号】</w:t>
      </w:r>
    </w:p>
    <w:p w14:paraId="4F31B069">
      <w:pPr>
        <w:pStyle w:val="41"/>
        <w:spacing w:after="0" w:line="560" w:lineRule="exact"/>
        <w:jc w:val="center"/>
        <w:rPr>
          <w:rFonts w:eastAsia="楷体_GB2312"/>
          <w:lang w:eastAsia="zh-CN"/>
        </w:rPr>
      </w:pPr>
    </w:p>
    <w:p w14:paraId="4049962B">
      <w:pPr>
        <w:pStyle w:val="41"/>
        <w:tabs>
          <w:tab w:val="left" w:pos="6140"/>
        </w:tabs>
        <w:spacing w:after="0" w:line="560" w:lineRule="exact"/>
        <w:rPr>
          <w:rFonts w:eastAsia="楷体_GB2312"/>
          <w:lang w:val="en-US" w:eastAsia="zh-CN"/>
        </w:rPr>
      </w:pPr>
      <w:r>
        <w:rPr>
          <w:rFonts w:eastAsia="楷体_GB2312"/>
          <w:lang w:val="en-US" w:eastAsia="zh-CN"/>
        </w:rPr>
        <w:tab/>
      </w:r>
    </w:p>
    <w:p w14:paraId="6212CA48">
      <w:pPr>
        <w:pStyle w:val="41"/>
        <w:spacing w:after="0" w:line="560" w:lineRule="exact"/>
        <w:jc w:val="center"/>
        <w:rPr>
          <w:rFonts w:eastAsia="楷体_GB2312"/>
          <w:b w:val="0"/>
          <w:sz w:val="36"/>
          <w:szCs w:val="36"/>
          <w:lang w:eastAsia="zh-CN"/>
        </w:rPr>
      </w:pPr>
      <w:r>
        <w:rPr>
          <w:rFonts w:eastAsia="楷体_GB2312"/>
          <w:sz w:val="36"/>
          <w:szCs w:val="36"/>
          <w:lang w:val="en-US" w:eastAsia="zh-CN"/>
        </w:rPr>
        <w:t>【发起机构全称】</w:t>
      </w:r>
    </w:p>
    <w:p w14:paraId="05E7241F">
      <w:pPr>
        <w:pStyle w:val="41"/>
        <w:spacing w:after="0" w:line="560" w:lineRule="exact"/>
        <w:jc w:val="center"/>
        <w:rPr>
          <w:rFonts w:eastAsia="楷体_GB2312"/>
          <w:bCs/>
          <w:lang w:eastAsia="zh-CN"/>
        </w:rPr>
      </w:pPr>
      <w:r>
        <w:rPr>
          <w:rFonts w:eastAsia="楷体_GB2312"/>
          <w:bCs/>
          <w:lang w:eastAsia="zh-CN"/>
        </w:rPr>
        <w:t>（作为委托人</w:t>
      </w:r>
      <w:r>
        <w:rPr>
          <w:rFonts w:hint="eastAsia" w:eastAsia="楷体_GB2312"/>
          <w:bCs/>
          <w:lang w:eastAsia="zh-CN"/>
        </w:rPr>
        <w:t>和</w:t>
      </w:r>
      <w:r>
        <w:rPr>
          <w:rFonts w:eastAsia="楷体_GB2312"/>
          <w:bCs/>
          <w:lang w:eastAsia="zh-CN"/>
        </w:rPr>
        <w:t>发起机构）</w:t>
      </w:r>
    </w:p>
    <w:p w14:paraId="0F616553">
      <w:pPr>
        <w:pStyle w:val="41"/>
        <w:spacing w:after="0" w:line="560" w:lineRule="exact"/>
        <w:jc w:val="center"/>
        <w:rPr>
          <w:rFonts w:eastAsia="楷体_GB2312"/>
          <w:bCs/>
          <w:lang w:eastAsia="zh-CN"/>
        </w:rPr>
      </w:pPr>
    </w:p>
    <w:p w14:paraId="2678CD23">
      <w:pPr>
        <w:pStyle w:val="41"/>
        <w:spacing w:after="0" w:line="560" w:lineRule="exact"/>
        <w:jc w:val="center"/>
        <w:rPr>
          <w:rFonts w:eastAsia="楷体_GB2312"/>
          <w:sz w:val="36"/>
          <w:szCs w:val="36"/>
          <w:lang w:val="en-US" w:eastAsia="zh-CN"/>
        </w:rPr>
      </w:pPr>
      <w:r>
        <w:rPr>
          <w:rFonts w:hint="eastAsia" w:eastAsia="楷体_GB2312"/>
          <w:sz w:val="36"/>
          <w:szCs w:val="36"/>
          <w:lang w:val="en-US" w:eastAsia="zh-CN"/>
        </w:rPr>
        <w:t>与</w:t>
      </w:r>
    </w:p>
    <w:p w14:paraId="03628319">
      <w:pPr>
        <w:pStyle w:val="41"/>
        <w:spacing w:after="0" w:line="560" w:lineRule="exact"/>
        <w:jc w:val="center"/>
        <w:rPr>
          <w:rFonts w:eastAsia="楷体_GB2312"/>
          <w:sz w:val="36"/>
          <w:szCs w:val="36"/>
          <w:lang w:val="en-US" w:eastAsia="zh-CN"/>
        </w:rPr>
      </w:pPr>
    </w:p>
    <w:p w14:paraId="754BFF37">
      <w:pPr>
        <w:pStyle w:val="41"/>
        <w:spacing w:after="0" w:line="560" w:lineRule="exact"/>
        <w:jc w:val="center"/>
        <w:rPr>
          <w:rFonts w:eastAsia="楷体_GB2312"/>
          <w:sz w:val="36"/>
          <w:szCs w:val="36"/>
          <w:lang w:val="en-US" w:eastAsia="zh-CN"/>
        </w:rPr>
      </w:pPr>
      <w:r>
        <w:rPr>
          <w:rFonts w:eastAsia="楷体_GB2312"/>
          <w:sz w:val="36"/>
          <w:szCs w:val="36"/>
          <w:lang w:val="en-US" w:eastAsia="zh-CN"/>
        </w:rPr>
        <w:t>【受托机构全称】</w:t>
      </w:r>
    </w:p>
    <w:p w14:paraId="7F8AD677">
      <w:pPr>
        <w:pStyle w:val="41"/>
        <w:spacing w:after="0" w:line="560" w:lineRule="exact"/>
        <w:jc w:val="center"/>
        <w:rPr>
          <w:rFonts w:eastAsia="楷体_GB2312"/>
          <w:b w:val="0"/>
          <w:caps w:val="0"/>
          <w:lang w:eastAsia="zh-CN"/>
        </w:rPr>
      </w:pPr>
      <w:r>
        <w:rPr>
          <w:rFonts w:eastAsia="楷体_GB2312"/>
          <w:lang w:eastAsia="zh-CN"/>
        </w:rPr>
        <w:t>（作为受托人、受托机构和发行人）</w:t>
      </w:r>
    </w:p>
    <w:p w14:paraId="0C528C3E">
      <w:pPr>
        <w:pStyle w:val="41"/>
        <w:spacing w:after="0" w:line="560" w:lineRule="exact"/>
        <w:jc w:val="center"/>
        <w:rPr>
          <w:rFonts w:eastAsia="楷体_GB2312"/>
          <w:b w:val="0"/>
          <w:lang w:eastAsia="zh-CN"/>
        </w:rPr>
      </w:pPr>
    </w:p>
    <w:p w14:paraId="55DAE77C">
      <w:pPr>
        <w:pStyle w:val="41"/>
        <w:spacing w:after="0" w:line="560" w:lineRule="exact"/>
        <w:jc w:val="center"/>
        <w:rPr>
          <w:rFonts w:eastAsia="楷体_GB2312"/>
          <w:b w:val="0"/>
          <w:lang w:eastAsia="zh-CN"/>
        </w:rPr>
      </w:pPr>
    </w:p>
    <w:p w14:paraId="49EF6C65">
      <w:pPr>
        <w:pStyle w:val="5"/>
        <w:spacing w:after="0" w:line="560" w:lineRule="exact"/>
        <w:ind w:left="-1" w:leftChars="-1" w:right="26" w:hanging="1"/>
        <w:jc w:val="center"/>
        <w:rPr>
          <w:rFonts w:ascii="Times New Roman" w:hAnsi="Times New Roman" w:eastAsia="楷体_GB2312"/>
          <w:b/>
          <w:bCs/>
          <w:color w:val="000000"/>
          <w:sz w:val="36"/>
          <w:szCs w:val="36"/>
        </w:rPr>
      </w:pPr>
      <w:r>
        <w:rPr>
          <w:rFonts w:ascii="Times New Roman" w:hAnsi="Times New Roman" w:eastAsia="楷体_GB2312"/>
          <w:b/>
          <w:caps/>
          <w:kern w:val="0"/>
          <w:sz w:val="36"/>
          <w:szCs w:val="36"/>
        </w:rPr>
        <w:t>【信托名称】</w:t>
      </w:r>
      <w:r>
        <w:rPr>
          <w:rFonts w:ascii="Times New Roman" w:hAnsi="Times New Roman" w:eastAsia="楷体_GB2312"/>
        </w:rPr>
        <w:br w:type="textWrapping" w:clear="all"/>
      </w:r>
      <w:r>
        <w:rPr>
          <w:rFonts w:ascii="Times New Roman" w:hAnsi="Times New Roman" w:eastAsia="楷体_GB2312"/>
          <w:b/>
          <w:bCs/>
          <w:color w:val="000000"/>
          <w:sz w:val="36"/>
          <w:szCs w:val="36"/>
        </w:rPr>
        <w:t>主定义表</w:t>
      </w:r>
    </w:p>
    <w:p w14:paraId="011E2B33">
      <w:pPr>
        <w:pStyle w:val="5"/>
        <w:spacing w:after="0" w:line="560" w:lineRule="exact"/>
        <w:ind w:left="1800" w:right="1440"/>
        <w:jc w:val="center"/>
        <w:rPr>
          <w:rFonts w:ascii="Times New Roman" w:hAnsi="Times New Roman" w:eastAsia="楷体_GB2312"/>
          <w:b/>
          <w:bCs/>
          <w:sz w:val="24"/>
        </w:rPr>
      </w:pPr>
    </w:p>
    <w:p w14:paraId="7D6BE218">
      <w:pPr>
        <w:spacing w:line="560" w:lineRule="exact"/>
        <w:jc w:val="center"/>
        <w:rPr>
          <w:rFonts w:ascii="Times New Roman" w:hAnsi="Times New Roman" w:eastAsia="楷体_GB2312"/>
          <w:b/>
          <w:bCs/>
          <w:color w:val="000000"/>
          <w:sz w:val="28"/>
          <w:szCs w:val="28"/>
        </w:rPr>
      </w:pPr>
    </w:p>
    <w:p w14:paraId="2ECDB71F">
      <w:pPr>
        <w:spacing w:line="560" w:lineRule="exact"/>
        <w:jc w:val="center"/>
        <w:rPr>
          <w:rFonts w:ascii="Times New Roman" w:hAnsi="Times New Roman" w:eastAsia="楷体_GB2312"/>
          <w:b/>
          <w:bCs/>
          <w:color w:val="000000"/>
          <w:sz w:val="28"/>
          <w:szCs w:val="28"/>
        </w:rPr>
      </w:pPr>
      <w:r>
        <w:rPr>
          <w:rFonts w:ascii="Times New Roman" w:hAnsi="Times New Roman" w:eastAsia="楷体_GB2312"/>
          <w:b/>
          <w:bCs/>
          <w:color w:val="000000"/>
          <w:sz w:val="28"/>
          <w:szCs w:val="28"/>
        </w:rPr>
        <w:t>中国</w:t>
      </w:r>
      <w:r>
        <w:rPr>
          <w:rFonts w:ascii="Times New Roman" w:hAnsi="Times New Roman" w:eastAsia="楷体_GB2312"/>
          <w:b/>
          <w:bCs/>
          <w:color w:val="000000"/>
          <w:sz w:val="28"/>
          <w:szCs w:val="28"/>
        </w:rPr>
        <w:tab/>
      </w:r>
      <w:r>
        <w:rPr>
          <w:rFonts w:ascii="Times New Roman" w:hAnsi="Times New Roman" w:eastAsia="楷体_GB2312"/>
          <w:b/>
          <w:sz w:val="28"/>
          <w:szCs w:val="28"/>
        </w:rPr>
        <w:t>【】</w:t>
      </w:r>
    </w:p>
    <w:p w14:paraId="24F6DDC8">
      <w:pPr>
        <w:spacing w:line="560" w:lineRule="exact"/>
        <w:jc w:val="center"/>
        <w:rPr>
          <w:rFonts w:ascii="Times New Roman" w:hAnsi="Times New Roman" w:eastAsia="楷体_GB2312"/>
        </w:rPr>
      </w:pPr>
      <w:bookmarkStart w:id="1" w:name="_DV_M14"/>
      <w:bookmarkEnd w:id="1"/>
      <w:r>
        <w:rPr>
          <w:rFonts w:ascii="Times New Roman" w:hAnsi="Times New Roman" w:eastAsia="楷体_GB2312"/>
          <w:b/>
          <w:sz w:val="28"/>
          <w:szCs w:val="28"/>
        </w:rPr>
        <w:t>【】年【】月</w:t>
      </w:r>
    </w:p>
    <w:p w14:paraId="2DA6FA01">
      <w:pPr>
        <w:spacing w:line="560" w:lineRule="exact"/>
        <w:jc w:val="center"/>
        <w:rPr>
          <w:rFonts w:ascii="Times New Roman" w:hAnsi="Times New Roman" w:eastAsia="楷体_GB2312"/>
          <w:sz w:val="24"/>
        </w:rPr>
        <w:sectPr>
          <w:footerReference r:id="rId6" w:type="first"/>
          <w:footerReference r:id="rId4" w:type="default"/>
          <w:footerReference r:id="rId5" w:type="even"/>
          <w:pgSz w:w="11906" w:h="16838"/>
          <w:pgMar w:top="1440" w:right="1800" w:bottom="1440" w:left="1800" w:header="851" w:footer="992" w:gutter="0"/>
          <w:pgNumType w:fmt="upperRoman" w:start="1"/>
          <w:cols w:space="425" w:num="1"/>
          <w:titlePg/>
          <w:docGrid w:type="lines" w:linePitch="312" w:charSpace="0"/>
        </w:sectPr>
      </w:pPr>
    </w:p>
    <w:p w14:paraId="79D1C29D">
      <w:pPr>
        <w:spacing w:before="156" w:beforeLines="50" w:after="156" w:afterLines="50" w:line="360" w:lineRule="auto"/>
        <w:jc w:val="center"/>
        <w:rPr>
          <w:rFonts w:ascii="Times New Roman" w:hAnsi="Times New Roman" w:eastAsia="楷体_GB2312"/>
          <w:b/>
          <w:sz w:val="28"/>
          <w:szCs w:val="28"/>
        </w:rPr>
      </w:pPr>
      <w:r>
        <w:rPr>
          <w:rFonts w:ascii="Times New Roman" w:hAnsi="Times New Roman" w:eastAsia="楷体_GB2312"/>
          <w:b/>
          <w:sz w:val="28"/>
          <w:szCs w:val="28"/>
        </w:rPr>
        <w:t>目</w:t>
      </w:r>
      <w:r>
        <w:rPr>
          <w:rFonts w:ascii="Times New Roman" w:hAnsi="Times New Roman" w:eastAsia="楷体_GB2312"/>
          <w:b/>
          <w:sz w:val="28"/>
          <w:szCs w:val="28"/>
        </w:rPr>
        <w:tab/>
      </w:r>
      <w:r>
        <w:rPr>
          <w:rFonts w:ascii="Times New Roman" w:hAnsi="Times New Roman" w:eastAsia="楷体_GB2312"/>
          <w:b/>
          <w:sz w:val="28"/>
          <w:szCs w:val="28"/>
        </w:rPr>
        <w:t>录</w:t>
      </w:r>
    </w:p>
    <w:p w14:paraId="7F240175">
      <w:pPr>
        <w:pStyle w:val="13"/>
        <w:tabs>
          <w:tab w:val="right" w:leader="dot" w:pos="8296"/>
        </w:tabs>
        <w:rPr>
          <w:rFonts w:ascii="Times New Roman" w:hAnsi="Times New Roman" w:eastAsiaTheme="minorEastAsia"/>
          <w:b w:val="0"/>
          <w:bCs w:val="0"/>
          <w:caps w:val="0"/>
          <w:sz w:val="24"/>
          <w:szCs w:val="24"/>
          <w14:ligatures w14:val="standardContextual"/>
        </w:rPr>
      </w:pPr>
      <w:r>
        <w:rPr>
          <w:rFonts w:ascii="Times New Roman" w:hAnsi="Times New Roman" w:eastAsia="楷体_GB2312"/>
          <w:b w:val="0"/>
          <w:sz w:val="24"/>
          <w:szCs w:val="24"/>
        </w:rPr>
        <w:fldChar w:fldCharType="begin"/>
      </w:r>
      <w:r>
        <w:rPr>
          <w:rFonts w:ascii="Times New Roman" w:hAnsi="Times New Roman" w:eastAsia="楷体_GB2312"/>
          <w:b w:val="0"/>
          <w:sz w:val="24"/>
          <w:szCs w:val="24"/>
        </w:rPr>
        <w:instrText xml:space="preserve"> TOC \o "1-1" \h \z \u </w:instrText>
      </w:r>
      <w:r>
        <w:rPr>
          <w:rFonts w:ascii="Times New Roman" w:hAnsi="Times New Roman" w:eastAsia="楷体_GB2312"/>
          <w:b w:val="0"/>
          <w:sz w:val="24"/>
          <w:szCs w:val="24"/>
        </w:rPr>
        <w:fldChar w:fldCharType="separate"/>
      </w:r>
      <w:r>
        <w:fldChar w:fldCharType="begin"/>
      </w:r>
      <w:r>
        <w:instrText xml:space="preserve"> HYPERLINK \l "_Toc220450225" </w:instrText>
      </w:r>
      <w:r>
        <w:fldChar w:fldCharType="separate"/>
      </w:r>
      <w:r>
        <w:rPr>
          <w:rStyle w:val="27"/>
          <w:rFonts w:ascii="Times New Roman" w:hAnsi="Times New Roman" w:eastAsia="楷体_GB2312"/>
          <w:sz w:val="24"/>
          <w:szCs w:val="24"/>
        </w:rPr>
        <w:t>一、定义</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_Toc220450225 \h </w:instrText>
      </w:r>
      <w:r>
        <w:rPr>
          <w:rFonts w:ascii="Times New Roman" w:hAnsi="Times New Roman"/>
          <w:sz w:val="24"/>
          <w:szCs w:val="24"/>
        </w:rPr>
        <w:fldChar w:fldCharType="separate"/>
      </w:r>
      <w:r>
        <w:rPr>
          <w:rFonts w:ascii="Times New Roman" w:hAnsi="Times New Roman"/>
          <w:sz w:val="24"/>
          <w:szCs w:val="24"/>
        </w:rPr>
        <w:t>1</w:t>
      </w:r>
      <w:r>
        <w:rPr>
          <w:rFonts w:ascii="Times New Roman" w:hAnsi="Times New Roman"/>
          <w:sz w:val="24"/>
          <w:szCs w:val="24"/>
        </w:rPr>
        <w:fldChar w:fldCharType="end"/>
      </w:r>
      <w:r>
        <w:rPr>
          <w:rFonts w:ascii="Times New Roman" w:hAnsi="Times New Roman"/>
          <w:sz w:val="24"/>
          <w:szCs w:val="24"/>
        </w:rPr>
        <w:fldChar w:fldCharType="end"/>
      </w:r>
    </w:p>
    <w:p w14:paraId="2358F299">
      <w:pPr>
        <w:pStyle w:val="13"/>
        <w:tabs>
          <w:tab w:val="right" w:leader="dot" w:pos="8296"/>
        </w:tabs>
        <w:rPr>
          <w:rFonts w:ascii="Times New Roman" w:hAnsi="Times New Roman" w:eastAsiaTheme="minorEastAsia"/>
          <w:b w:val="0"/>
          <w:bCs w:val="0"/>
          <w:caps w:val="0"/>
          <w:sz w:val="24"/>
          <w:szCs w:val="24"/>
          <w14:ligatures w14:val="standardContextual"/>
        </w:rPr>
      </w:pPr>
      <w:r>
        <w:fldChar w:fldCharType="begin"/>
      </w:r>
      <w:r>
        <w:instrText xml:space="preserve"> HYPERLINK \l "_Toc220450226" </w:instrText>
      </w:r>
      <w:r>
        <w:fldChar w:fldCharType="separate"/>
      </w:r>
      <w:r>
        <w:rPr>
          <w:rStyle w:val="27"/>
          <w:rFonts w:ascii="Times New Roman" w:hAnsi="Times New Roman" w:eastAsia="楷体_GB2312"/>
          <w:sz w:val="24"/>
          <w:szCs w:val="24"/>
        </w:rPr>
        <w:t>二、法律条款</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_Toc220450226 \h </w:instrText>
      </w:r>
      <w:r>
        <w:rPr>
          <w:rFonts w:ascii="Times New Roman" w:hAnsi="Times New Roman"/>
          <w:sz w:val="24"/>
          <w:szCs w:val="24"/>
        </w:rPr>
        <w:fldChar w:fldCharType="separate"/>
      </w:r>
      <w:r>
        <w:rPr>
          <w:rFonts w:ascii="Times New Roman" w:hAnsi="Times New Roman"/>
          <w:sz w:val="24"/>
          <w:szCs w:val="24"/>
        </w:rPr>
        <w:t>36</w:t>
      </w:r>
      <w:r>
        <w:rPr>
          <w:rFonts w:ascii="Times New Roman" w:hAnsi="Times New Roman"/>
          <w:sz w:val="24"/>
          <w:szCs w:val="24"/>
        </w:rPr>
        <w:fldChar w:fldCharType="end"/>
      </w:r>
      <w:r>
        <w:rPr>
          <w:rFonts w:ascii="Times New Roman" w:hAnsi="Times New Roman"/>
          <w:sz w:val="24"/>
          <w:szCs w:val="24"/>
        </w:rPr>
        <w:fldChar w:fldCharType="end"/>
      </w:r>
    </w:p>
    <w:p w14:paraId="265F8C42">
      <w:pPr>
        <w:pStyle w:val="13"/>
        <w:tabs>
          <w:tab w:val="right" w:leader="dot" w:pos="8296"/>
        </w:tabs>
        <w:rPr>
          <w:rFonts w:ascii="Times New Roman" w:hAnsi="Times New Roman" w:eastAsiaTheme="minorEastAsia"/>
          <w:b w:val="0"/>
          <w:bCs w:val="0"/>
          <w:caps w:val="0"/>
          <w:sz w:val="24"/>
          <w:szCs w:val="24"/>
          <w14:ligatures w14:val="standardContextual"/>
        </w:rPr>
      </w:pPr>
      <w:r>
        <w:fldChar w:fldCharType="begin"/>
      </w:r>
      <w:r>
        <w:instrText xml:space="preserve"> HYPERLINK \l "_Toc220450227" </w:instrText>
      </w:r>
      <w:r>
        <w:fldChar w:fldCharType="separate"/>
      </w:r>
      <w:r>
        <w:rPr>
          <w:rStyle w:val="27"/>
          <w:rFonts w:ascii="Times New Roman" w:hAnsi="Times New Roman" w:eastAsia="楷体_GB2312"/>
          <w:sz w:val="24"/>
          <w:szCs w:val="24"/>
        </w:rPr>
        <w:t>三、修改</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_Toc220450227 \h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fldChar w:fldCharType="end"/>
      </w:r>
    </w:p>
    <w:p w14:paraId="3A948E0D">
      <w:pPr>
        <w:pStyle w:val="13"/>
        <w:tabs>
          <w:tab w:val="right" w:leader="dot" w:pos="8296"/>
        </w:tabs>
        <w:rPr>
          <w:rFonts w:ascii="Times New Roman" w:hAnsi="Times New Roman" w:eastAsiaTheme="minorEastAsia"/>
          <w:b w:val="0"/>
          <w:bCs w:val="0"/>
          <w:caps w:val="0"/>
          <w:sz w:val="24"/>
          <w:szCs w:val="24"/>
          <w14:ligatures w14:val="standardContextual"/>
        </w:rPr>
      </w:pPr>
      <w:r>
        <w:fldChar w:fldCharType="begin"/>
      </w:r>
      <w:r>
        <w:instrText xml:space="preserve"> HYPERLINK \l "_Toc220450228" </w:instrText>
      </w:r>
      <w:r>
        <w:fldChar w:fldCharType="separate"/>
      </w:r>
      <w:r>
        <w:rPr>
          <w:rStyle w:val="27"/>
          <w:rFonts w:ascii="Times New Roman" w:hAnsi="Times New Roman" w:eastAsia="楷体_GB2312"/>
          <w:sz w:val="24"/>
          <w:szCs w:val="24"/>
        </w:rPr>
        <w:t>四、条款</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_Toc220450228 \h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fldChar w:fldCharType="end"/>
      </w:r>
    </w:p>
    <w:p w14:paraId="701A6CE6">
      <w:pPr>
        <w:pStyle w:val="13"/>
        <w:tabs>
          <w:tab w:val="right" w:leader="dot" w:pos="8296"/>
        </w:tabs>
        <w:rPr>
          <w:rFonts w:ascii="Times New Roman" w:hAnsi="Times New Roman" w:eastAsiaTheme="minorEastAsia"/>
          <w:b w:val="0"/>
          <w:bCs w:val="0"/>
          <w:caps w:val="0"/>
          <w:sz w:val="24"/>
          <w:szCs w:val="24"/>
          <w14:ligatures w14:val="standardContextual"/>
        </w:rPr>
      </w:pPr>
      <w:r>
        <w:fldChar w:fldCharType="begin"/>
      </w:r>
      <w:r>
        <w:instrText xml:space="preserve"> HYPERLINK \l "_Toc220450229" </w:instrText>
      </w:r>
      <w:r>
        <w:fldChar w:fldCharType="separate"/>
      </w:r>
      <w:r>
        <w:rPr>
          <w:rStyle w:val="27"/>
          <w:rFonts w:ascii="Times New Roman" w:hAnsi="Times New Roman" w:eastAsia="楷体_GB2312"/>
          <w:sz w:val="24"/>
          <w:szCs w:val="24"/>
        </w:rPr>
        <w:t>五、附件</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_Toc220450229 \h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fldChar w:fldCharType="end"/>
      </w:r>
    </w:p>
    <w:p w14:paraId="40D0AE23">
      <w:pPr>
        <w:pStyle w:val="13"/>
        <w:tabs>
          <w:tab w:val="right" w:leader="dot" w:pos="8296"/>
        </w:tabs>
        <w:rPr>
          <w:rFonts w:ascii="Times New Roman" w:hAnsi="Times New Roman" w:eastAsiaTheme="minorEastAsia"/>
          <w:b w:val="0"/>
          <w:bCs w:val="0"/>
          <w:caps w:val="0"/>
          <w:sz w:val="24"/>
          <w:szCs w:val="24"/>
          <w14:ligatures w14:val="standardContextual"/>
        </w:rPr>
      </w:pPr>
      <w:r>
        <w:fldChar w:fldCharType="begin"/>
      </w:r>
      <w:r>
        <w:instrText xml:space="preserve"> HYPERLINK \l "_Toc220450230" </w:instrText>
      </w:r>
      <w:r>
        <w:fldChar w:fldCharType="separate"/>
      </w:r>
      <w:r>
        <w:rPr>
          <w:rStyle w:val="27"/>
          <w:rFonts w:ascii="Times New Roman" w:hAnsi="Times New Roman" w:eastAsia="楷体_GB2312"/>
          <w:sz w:val="24"/>
          <w:szCs w:val="24"/>
        </w:rPr>
        <w:t>六、标题</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_Toc220450230 \h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fldChar w:fldCharType="end"/>
      </w:r>
    </w:p>
    <w:p w14:paraId="20B554DA">
      <w:pPr>
        <w:pStyle w:val="13"/>
        <w:tabs>
          <w:tab w:val="right" w:leader="dot" w:pos="8296"/>
        </w:tabs>
        <w:rPr>
          <w:rFonts w:ascii="Times New Roman" w:hAnsi="Times New Roman" w:eastAsiaTheme="minorEastAsia"/>
          <w:b w:val="0"/>
          <w:bCs w:val="0"/>
          <w:caps w:val="0"/>
          <w:sz w:val="24"/>
          <w:szCs w:val="24"/>
          <w14:ligatures w14:val="standardContextual"/>
        </w:rPr>
      </w:pPr>
      <w:r>
        <w:fldChar w:fldCharType="begin"/>
      </w:r>
      <w:r>
        <w:instrText xml:space="preserve"> HYPERLINK \l "_Toc220450231" </w:instrText>
      </w:r>
      <w:r>
        <w:fldChar w:fldCharType="separate"/>
      </w:r>
      <w:r>
        <w:rPr>
          <w:rStyle w:val="27"/>
          <w:rFonts w:ascii="Times New Roman" w:hAnsi="Times New Roman" w:eastAsia="楷体_GB2312"/>
          <w:sz w:val="24"/>
          <w:szCs w:val="24"/>
        </w:rPr>
        <w:t>七、同意与弃权</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_Toc220450231 \h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fldChar w:fldCharType="end"/>
      </w:r>
    </w:p>
    <w:p w14:paraId="6784E464">
      <w:pPr>
        <w:pStyle w:val="13"/>
        <w:tabs>
          <w:tab w:val="right" w:leader="dot" w:pos="8296"/>
        </w:tabs>
        <w:rPr>
          <w:rFonts w:ascii="Times New Roman" w:hAnsi="Times New Roman" w:eastAsiaTheme="minorEastAsia"/>
          <w:b w:val="0"/>
          <w:bCs w:val="0"/>
          <w:caps w:val="0"/>
          <w:sz w:val="24"/>
          <w:szCs w:val="24"/>
          <w14:ligatures w14:val="standardContextual"/>
        </w:rPr>
      </w:pPr>
      <w:r>
        <w:fldChar w:fldCharType="begin"/>
      </w:r>
      <w:r>
        <w:instrText xml:space="preserve"> HYPERLINK \l "_Toc220450232" </w:instrText>
      </w:r>
      <w:r>
        <w:fldChar w:fldCharType="separate"/>
      </w:r>
      <w:r>
        <w:rPr>
          <w:rStyle w:val="27"/>
          <w:rFonts w:ascii="Times New Roman" w:hAnsi="Times New Roman" w:eastAsia="楷体_GB2312"/>
          <w:sz w:val="24"/>
          <w:szCs w:val="24"/>
        </w:rPr>
        <w:t>八、继任机构</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_Toc220450232 \h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fldChar w:fldCharType="end"/>
      </w:r>
    </w:p>
    <w:p w14:paraId="703ACF2E">
      <w:pPr>
        <w:pStyle w:val="13"/>
        <w:tabs>
          <w:tab w:val="right" w:leader="dot" w:pos="8296"/>
        </w:tabs>
        <w:rPr>
          <w:rFonts w:ascii="Times New Roman" w:hAnsi="Times New Roman" w:eastAsiaTheme="minorEastAsia"/>
          <w:b w:val="0"/>
          <w:bCs w:val="0"/>
          <w:caps w:val="0"/>
          <w:sz w:val="24"/>
          <w:szCs w:val="24"/>
          <w14:ligatures w14:val="standardContextual"/>
        </w:rPr>
      </w:pPr>
      <w:r>
        <w:fldChar w:fldCharType="begin"/>
      </w:r>
      <w:r>
        <w:instrText xml:space="preserve"> HYPERLINK \l "_Toc220450233" </w:instrText>
      </w:r>
      <w:r>
        <w:fldChar w:fldCharType="separate"/>
      </w:r>
      <w:r>
        <w:rPr>
          <w:rStyle w:val="27"/>
          <w:rFonts w:ascii="Times New Roman" w:hAnsi="Times New Roman" w:eastAsia="楷体_GB2312"/>
          <w:sz w:val="24"/>
          <w:szCs w:val="24"/>
        </w:rPr>
        <w:t>九、变动</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_Toc220450233 \h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fldChar w:fldCharType="end"/>
      </w:r>
    </w:p>
    <w:p w14:paraId="1B2B0569">
      <w:pPr>
        <w:pStyle w:val="13"/>
        <w:tabs>
          <w:tab w:val="right" w:leader="dot" w:pos="8296"/>
        </w:tabs>
        <w:rPr>
          <w:rFonts w:ascii="Times New Roman" w:hAnsi="Times New Roman" w:eastAsiaTheme="minorEastAsia"/>
          <w:b w:val="0"/>
          <w:bCs w:val="0"/>
          <w:caps w:val="0"/>
          <w:sz w:val="24"/>
          <w:szCs w:val="24"/>
          <w14:ligatures w14:val="standardContextual"/>
        </w:rPr>
      </w:pPr>
      <w:r>
        <w:fldChar w:fldCharType="begin"/>
      </w:r>
      <w:r>
        <w:instrText xml:space="preserve"> HYPERLINK \l "_Toc220450234" </w:instrText>
      </w:r>
      <w:r>
        <w:fldChar w:fldCharType="separate"/>
      </w:r>
      <w:r>
        <w:rPr>
          <w:rStyle w:val="27"/>
          <w:rFonts w:ascii="Times New Roman" w:hAnsi="Times New Roman" w:eastAsia="楷体_GB2312"/>
          <w:sz w:val="24"/>
          <w:szCs w:val="24"/>
        </w:rPr>
        <w:t>十、生效</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_Toc220450234 \h </w:instrText>
      </w:r>
      <w:r>
        <w:rPr>
          <w:rFonts w:ascii="Times New Roman" w:hAnsi="Times New Roman"/>
          <w:sz w:val="24"/>
          <w:szCs w:val="24"/>
        </w:rPr>
        <w:fldChar w:fldCharType="separate"/>
      </w:r>
      <w:r>
        <w:rPr>
          <w:rFonts w:ascii="Times New Roman" w:hAnsi="Times New Roman"/>
          <w:sz w:val="24"/>
          <w:szCs w:val="24"/>
        </w:rPr>
        <w:t>37</w:t>
      </w:r>
      <w:r>
        <w:rPr>
          <w:rFonts w:ascii="Times New Roman" w:hAnsi="Times New Roman"/>
          <w:sz w:val="24"/>
          <w:szCs w:val="24"/>
        </w:rPr>
        <w:fldChar w:fldCharType="end"/>
      </w:r>
      <w:r>
        <w:rPr>
          <w:rFonts w:ascii="Times New Roman" w:hAnsi="Times New Roman"/>
          <w:sz w:val="24"/>
          <w:szCs w:val="24"/>
        </w:rPr>
        <w:fldChar w:fldCharType="end"/>
      </w:r>
    </w:p>
    <w:p w14:paraId="5C7B3D9F">
      <w:pPr>
        <w:pStyle w:val="13"/>
        <w:tabs>
          <w:tab w:val="right" w:leader="dot" w:pos="8296"/>
        </w:tabs>
        <w:rPr>
          <w:rFonts w:ascii="Times New Roman" w:hAnsi="Times New Roman" w:eastAsiaTheme="minorEastAsia"/>
          <w:b w:val="0"/>
          <w:bCs w:val="0"/>
          <w:caps w:val="0"/>
          <w:sz w:val="24"/>
          <w:szCs w:val="24"/>
          <w14:ligatures w14:val="standardContextual"/>
        </w:rPr>
      </w:pPr>
      <w:r>
        <w:fldChar w:fldCharType="begin"/>
      </w:r>
      <w:r>
        <w:instrText xml:space="preserve"> HYPERLINK \l "_Toc220450235" </w:instrText>
      </w:r>
      <w:r>
        <w:fldChar w:fldCharType="separate"/>
      </w:r>
      <w:r>
        <w:rPr>
          <w:rStyle w:val="27"/>
          <w:rFonts w:ascii="Times New Roman" w:hAnsi="Times New Roman" w:eastAsia="楷体_GB2312"/>
          <w:sz w:val="24"/>
          <w:szCs w:val="24"/>
        </w:rPr>
        <w:t>十一、文本</w:t>
      </w:r>
      <w:r>
        <w:rPr>
          <w:rFonts w:ascii="Times New Roman" w:hAnsi="Times New Roman"/>
          <w:sz w:val="24"/>
          <w:szCs w:val="24"/>
        </w:rPr>
        <w:tab/>
      </w:r>
      <w:r>
        <w:rPr>
          <w:rFonts w:ascii="Times New Roman" w:hAnsi="Times New Roman"/>
          <w:sz w:val="24"/>
          <w:szCs w:val="24"/>
        </w:rPr>
        <w:fldChar w:fldCharType="begin"/>
      </w:r>
      <w:r>
        <w:rPr>
          <w:rFonts w:ascii="Times New Roman" w:hAnsi="Times New Roman"/>
          <w:sz w:val="24"/>
          <w:szCs w:val="24"/>
        </w:rPr>
        <w:instrText xml:space="preserve"> PAGEREF _Toc220450235 \h </w:instrText>
      </w:r>
      <w:r>
        <w:rPr>
          <w:rFonts w:ascii="Times New Roman" w:hAnsi="Times New Roman"/>
          <w:sz w:val="24"/>
          <w:szCs w:val="24"/>
        </w:rPr>
        <w:fldChar w:fldCharType="separate"/>
      </w:r>
      <w:r>
        <w:rPr>
          <w:rFonts w:ascii="Times New Roman" w:hAnsi="Times New Roman"/>
          <w:sz w:val="24"/>
          <w:szCs w:val="24"/>
        </w:rPr>
        <w:t>38</w:t>
      </w:r>
      <w:r>
        <w:rPr>
          <w:rFonts w:ascii="Times New Roman" w:hAnsi="Times New Roman"/>
          <w:sz w:val="24"/>
          <w:szCs w:val="24"/>
        </w:rPr>
        <w:fldChar w:fldCharType="end"/>
      </w:r>
      <w:r>
        <w:rPr>
          <w:rFonts w:ascii="Times New Roman" w:hAnsi="Times New Roman"/>
          <w:sz w:val="24"/>
          <w:szCs w:val="24"/>
        </w:rPr>
        <w:fldChar w:fldCharType="end"/>
      </w:r>
    </w:p>
    <w:p w14:paraId="7EF7EA9A">
      <w:pPr>
        <w:spacing w:before="156" w:beforeLines="50" w:after="156" w:afterLines="50" w:line="360" w:lineRule="auto"/>
        <w:rPr>
          <w:rFonts w:ascii="Times New Roman" w:hAnsi="Times New Roman" w:eastAsia="楷体_GB2312"/>
          <w:b/>
          <w:sz w:val="24"/>
        </w:rPr>
      </w:pPr>
      <w:r>
        <w:rPr>
          <w:rFonts w:ascii="Times New Roman" w:hAnsi="Times New Roman" w:eastAsia="楷体_GB2312"/>
          <w:sz w:val="24"/>
        </w:rPr>
        <w:fldChar w:fldCharType="end"/>
      </w:r>
    </w:p>
    <w:p w14:paraId="07F02117">
      <w:pPr>
        <w:pStyle w:val="5"/>
        <w:tabs>
          <w:tab w:val="left" w:pos="2760"/>
        </w:tabs>
        <w:spacing w:before="156" w:beforeLines="50" w:after="156" w:afterLines="50" w:line="360" w:lineRule="auto"/>
        <w:rPr>
          <w:rFonts w:ascii="Times New Roman" w:hAnsi="Times New Roman" w:eastAsia="楷体_GB2312"/>
          <w:b/>
          <w:sz w:val="24"/>
        </w:rPr>
        <w:sectPr>
          <w:pgSz w:w="11906" w:h="16838"/>
          <w:pgMar w:top="1440" w:right="1800" w:bottom="1440" w:left="1800" w:header="851" w:footer="992" w:gutter="0"/>
          <w:pgNumType w:fmt="upperRoman" w:start="1"/>
          <w:cols w:space="425" w:num="1"/>
          <w:titlePg/>
          <w:docGrid w:type="lines" w:linePitch="312" w:charSpace="0"/>
        </w:sectPr>
      </w:pPr>
    </w:p>
    <w:p w14:paraId="22322EAC">
      <w:pPr>
        <w:pStyle w:val="5"/>
        <w:spacing w:before="156" w:beforeLines="50" w:after="156" w:afterLines="50" w:line="360" w:lineRule="auto"/>
        <w:ind w:left="-1" w:leftChars="-1" w:right="26" w:hanging="1"/>
        <w:jc w:val="center"/>
        <w:rPr>
          <w:rFonts w:ascii="Times New Roman" w:hAnsi="Times New Roman" w:eastAsia="楷体_GB2312"/>
          <w:b/>
          <w:bCs/>
          <w:color w:val="000000"/>
          <w:sz w:val="28"/>
          <w:szCs w:val="28"/>
        </w:rPr>
      </w:pPr>
      <w:r>
        <w:rPr>
          <w:rFonts w:ascii="Times New Roman" w:hAnsi="Times New Roman" w:eastAsia="楷体_GB2312"/>
          <w:b/>
          <w:bCs/>
          <w:color w:val="000000"/>
          <w:sz w:val="28"/>
          <w:szCs w:val="28"/>
        </w:rPr>
        <w:t>【信托名称】主定义表</w:t>
      </w:r>
    </w:p>
    <w:p w14:paraId="7A35429D">
      <w:pPr>
        <w:pStyle w:val="5"/>
        <w:tabs>
          <w:tab w:val="left" w:pos="2760"/>
        </w:tabs>
        <w:spacing w:before="156" w:beforeLines="50" w:after="156" w:afterLines="50" w:line="360" w:lineRule="auto"/>
        <w:rPr>
          <w:rFonts w:ascii="Times New Roman" w:hAnsi="Times New Roman" w:eastAsia="楷体_GB2312"/>
          <w:b/>
          <w:sz w:val="24"/>
        </w:rPr>
      </w:pPr>
      <w:r>
        <w:rPr>
          <w:rFonts w:ascii="Times New Roman" w:hAnsi="Times New Roman" w:eastAsia="楷体_GB2312"/>
          <w:b/>
          <w:sz w:val="24"/>
        </w:rPr>
        <w:t>《【信托名称】</w:t>
      </w:r>
      <w:r>
        <w:rPr>
          <w:rFonts w:ascii="Times New Roman" w:hAnsi="Times New Roman" w:eastAsia="楷体_GB2312"/>
          <w:b/>
          <w:bCs/>
          <w:sz w:val="24"/>
        </w:rPr>
        <w:t>主</w:t>
      </w:r>
      <w:r>
        <w:rPr>
          <w:rFonts w:ascii="Times New Roman" w:hAnsi="Times New Roman" w:eastAsia="楷体_GB2312"/>
          <w:b/>
          <w:sz w:val="24"/>
        </w:rPr>
        <w:t>定义表》（“本《主定义表》”）由以下双方于【   】年【   】月【   】日于中国【   】市【   】</w:t>
      </w:r>
      <w:r>
        <w:rPr>
          <w:rFonts w:hint="eastAsia" w:ascii="Times New Roman" w:hAnsi="Times New Roman" w:eastAsia="楷体_GB2312"/>
          <w:b/>
          <w:sz w:val="24"/>
        </w:rPr>
        <w:t>区</w:t>
      </w:r>
      <w:r>
        <w:rPr>
          <w:rFonts w:ascii="Times New Roman" w:hAnsi="Times New Roman" w:eastAsia="楷体_GB2312"/>
          <w:b/>
          <w:sz w:val="24"/>
        </w:rPr>
        <w:t>签署：</w:t>
      </w:r>
    </w:p>
    <w:p w14:paraId="684981D6">
      <w:pPr>
        <w:pStyle w:val="42"/>
        <w:numPr>
          <w:ilvl w:val="0"/>
          <w:numId w:val="2"/>
        </w:numPr>
        <w:spacing w:line="360" w:lineRule="auto"/>
        <w:rPr>
          <w:rFonts w:ascii="Times New Roman" w:hAnsi="Times New Roman" w:eastAsia="楷体_GB2312"/>
          <w:lang w:eastAsia="zh-CN"/>
        </w:rPr>
      </w:pPr>
      <w:bookmarkStart w:id="2" w:name="_DV_M113"/>
      <w:bookmarkEnd w:id="2"/>
      <w:r>
        <w:rPr>
          <w:rFonts w:ascii="Times New Roman" w:hAnsi="Times New Roman" w:eastAsia="楷体_GB2312"/>
          <w:b/>
          <w:lang w:val="en-US" w:eastAsia="zh-CN"/>
        </w:rPr>
        <w:t>【发起机构全称】</w:t>
      </w:r>
      <w:r>
        <w:rPr>
          <w:rFonts w:ascii="Times New Roman" w:hAnsi="Times New Roman" w:eastAsia="楷体_GB2312"/>
          <w:lang w:eastAsia="zh-CN"/>
        </w:rPr>
        <w:t>，作为“【信托名称】</w:t>
      </w:r>
      <w:r>
        <w:rPr>
          <w:rFonts w:ascii="Times New Roman" w:hAnsi="Times New Roman" w:eastAsia="楷体_GB2312"/>
          <w:bCs w:val="0"/>
          <w:lang w:eastAsia="zh-CN"/>
        </w:rPr>
        <w:t>”</w:t>
      </w:r>
      <w:r>
        <w:rPr>
          <w:rFonts w:ascii="Times New Roman" w:hAnsi="Times New Roman" w:eastAsia="楷体_GB2312"/>
          <w:lang w:eastAsia="zh-CN"/>
        </w:rPr>
        <w:t>的“委托人”</w:t>
      </w:r>
      <w:r>
        <w:rPr>
          <w:rFonts w:hint="eastAsia" w:ascii="Times New Roman" w:hAnsi="Times New Roman" w:eastAsia="楷体_GB2312"/>
          <w:lang w:eastAsia="zh-CN"/>
        </w:rPr>
        <w:t>和</w:t>
      </w:r>
      <w:r>
        <w:rPr>
          <w:rFonts w:ascii="Times New Roman" w:hAnsi="Times New Roman" w:eastAsia="楷体_GB2312"/>
          <w:lang w:eastAsia="zh-CN"/>
        </w:rPr>
        <w:t>“发起机构”，是依据“中国”“法律”设立的</w:t>
      </w:r>
      <w:r>
        <w:rPr>
          <w:rFonts w:ascii="Times New Roman" w:hAnsi="Times New Roman" w:eastAsia="楷体_GB2312"/>
          <w:lang w:val="en-US" w:eastAsia="zh-CN"/>
        </w:rPr>
        <w:t>【】</w:t>
      </w:r>
      <w:r>
        <w:rPr>
          <w:rFonts w:ascii="Times New Roman" w:hAnsi="Times New Roman" w:eastAsia="楷体_GB2312"/>
          <w:lang w:eastAsia="zh-CN"/>
        </w:rPr>
        <w:t>，</w:t>
      </w:r>
      <w:r>
        <w:rPr>
          <w:rFonts w:ascii="Times New Roman" w:hAnsi="Times New Roman" w:eastAsia="楷体_GB2312"/>
          <w:lang w:val="en-US" w:eastAsia="zh-CN"/>
        </w:rPr>
        <w:t>法定代表人：【】；注册地址：【】。</w:t>
      </w:r>
    </w:p>
    <w:p w14:paraId="6706D1DF">
      <w:pPr>
        <w:pStyle w:val="42"/>
        <w:numPr>
          <w:ilvl w:val="0"/>
          <w:numId w:val="2"/>
        </w:numPr>
        <w:spacing w:before="156" w:beforeLines="50" w:after="156" w:afterLines="50" w:line="360" w:lineRule="auto"/>
        <w:rPr>
          <w:rFonts w:ascii="Times New Roman" w:hAnsi="Times New Roman" w:eastAsia="楷体_GB2312"/>
          <w:lang w:val="en-US" w:eastAsia="zh-CN"/>
        </w:rPr>
      </w:pPr>
      <w:r>
        <w:rPr>
          <w:rFonts w:ascii="Times New Roman" w:hAnsi="Times New Roman" w:eastAsia="楷体_GB2312"/>
          <w:b/>
          <w:lang w:val="en-US" w:eastAsia="zh-CN"/>
        </w:rPr>
        <w:t>【受托机构全称】，</w:t>
      </w:r>
      <w:r>
        <w:rPr>
          <w:rFonts w:ascii="Times New Roman" w:hAnsi="Times New Roman" w:eastAsia="楷体_GB2312"/>
          <w:lang w:val="en-US" w:eastAsia="zh-CN"/>
        </w:rPr>
        <w:t>作为“【信托名称】”的“受托人”、“受托机构”和“发行人”，是依据</w:t>
      </w:r>
      <w:r>
        <w:rPr>
          <w:rFonts w:ascii="Times New Roman" w:hAnsi="Times New Roman" w:eastAsia="楷体_GB2312"/>
          <w:lang w:eastAsia="zh-CN"/>
        </w:rPr>
        <w:t>“中国”“法律”</w:t>
      </w:r>
      <w:r>
        <w:rPr>
          <w:rFonts w:ascii="Times New Roman" w:hAnsi="Times New Roman" w:eastAsia="楷体_GB2312"/>
          <w:lang w:val="en-US" w:eastAsia="zh-CN"/>
        </w:rPr>
        <w:t>设立的【】，法定代表人：【】；注册地址：【】。</w:t>
      </w:r>
    </w:p>
    <w:p w14:paraId="0BAE3DC5">
      <w:pPr>
        <w:pStyle w:val="30"/>
        <w:spacing w:before="156" w:beforeLines="50" w:after="156" w:afterLines="50"/>
        <w:ind w:firstLine="0"/>
        <w:outlineLvl w:val="0"/>
        <w:rPr>
          <w:rFonts w:ascii="Times New Roman" w:hAnsi="Times New Roman" w:eastAsia="楷体_GB2312"/>
          <w:b/>
        </w:rPr>
      </w:pPr>
      <w:bookmarkStart w:id="3" w:name="_Toc173860429"/>
      <w:bookmarkStart w:id="4" w:name="_Toc149842420"/>
      <w:bookmarkStart w:id="5" w:name="_Toc220450225"/>
      <w:r>
        <w:rPr>
          <w:rFonts w:ascii="Times New Roman" w:hAnsi="Times New Roman" w:eastAsia="楷体_GB2312"/>
          <w:b/>
        </w:rPr>
        <w:t>一、定义</w:t>
      </w:r>
      <w:bookmarkEnd w:id="3"/>
      <w:bookmarkEnd w:id="4"/>
      <w:bookmarkEnd w:id="5"/>
    </w:p>
    <w:p w14:paraId="3684554E">
      <w:pPr>
        <w:pStyle w:val="6"/>
        <w:spacing w:before="156" w:beforeLines="50" w:after="156" w:afterLines="50" w:line="360" w:lineRule="auto"/>
        <w:ind w:left="0" w:leftChars="0"/>
        <w:outlineLvl w:val="1"/>
        <w:rPr>
          <w:rFonts w:ascii="Times New Roman" w:hAnsi="Times New Roman" w:eastAsia="楷体_GB2312"/>
          <w:b/>
          <w:sz w:val="24"/>
        </w:rPr>
      </w:pPr>
      <w:bookmarkStart w:id="6" w:name="_Toc173860430"/>
      <w:r>
        <w:rPr>
          <w:rFonts w:ascii="Times New Roman" w:hAnsi="Times New Roman" w:eastAsia="楷体_GB2312"/>
          <w:b/>
          <w:sz w:val="24"/>
        </w:rPr>
        <w:t>（一）相关机构</w:t>
      </w:r>
      <w:bookmarkEnd w:id="6"/>
    </w:p>
    <w:p w14:paraId="0DC967A8">
      <w:pPr>
        <w:pStyle w:val="6"/>
        <w:spacing w:before="156" w:beforeLines="50" w:after="156" w:afterLines="50" w:line="360" w:lineRule="auto"/>
        <w:ind w:left="0" w:leftChars="0"/>
        <w:outlineLvl w:val="2"/>
        <w:rPr>
          <w:rFonts w:ascii="Times New Roman" w:hAnsi="Times New Roman" w:eastAsia="楷体_GB2312"/>
          <w:b/>
          <w:sz w:val="24"/>
        </w:rPr>
      </w:pPr>
      <w:bookmarkStart w:id="7" w:name="_Toc173860431"/>
      <w:r>
        <w:rPr>
          <w:rFonts w:ascii="Times New Roman" w:hAnsi="Times New Roman" w:eastAsia="楷体_GB2312"/>
          <w:b/>
          <w:sz w:val="24"/>
        </w:rPr>
        <w:t>1、信托当事人</w:t>
      </w:r>
      <w:bookmarkEnd w:id="7"/>
    </w:p>
    <w:p w14:paraId="029A551A">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bCs/>
          <w:color w:val="000000" w:themeColor="text1"/>
          <w:sz w:val="24"/>
          <w14:textFill>
            <w14:solidFill>
              <w14:schemeClr w14:val="tx1"/>
            </w14:solidFill>
          </w14:textFill>
        </w:rPr>
        <w:t>委托人</w:t>
      </w:r>
      <w:r>
        <w:rPr>
          <w:rFonts w:ascii="Times New Roman" w:hAnsi="Times New Roman" w:eastAsia="楷体_GB2312"/>
          <w:b/>
          <w:sz w:val="24"/>
        </w:rPr>
        <w:t>/发起机构</w:t>
      </w:r>
      <w:r>
        <w:rPr>
          <w:rFonts w:ascii="Times New Roman" w:hAnsi="Times New Roman" w:eastAsia="楷体_GB2312"/>
          <w:b/>
          <w:bCs/>
          <w:sz w:val="24"/>
        </w:rPr>
        <w:t>/</w:t>
      </w:r>
      <w:r>
        <w:rPr>
          <w:rFonts w:ascii="Times New Roman" w:hAnsi="Times New Roman" w:eastAsia="楷体_GB2312"/>
          <w:b/>
          <w:sz w:val="24"/>
        </w:rPr>
        <w:t>【发起机构简称】：</w:t>
      </w:r>
      <w:r>
        <w:rPr>
          <w:rFonts w:ascii="Times New Roman" w:hAnsi="Times New Roman" w:eastAsia="楷体_GB2312"/>
          <w:bCs/>
          <w:sz w:val="24"/>
        </w:rPr>
        <w:t>系指【发起机构全称】。</w:t>
      </w:r>
    </w:p>
    <w:p w14:paraId="75BF7B57">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受托人/受托机构：</w:t>
      </w:r>
      <w:r>
        <w:rPr>
          <w:rFonts w:ascii="Times New Roman" w:hAnsi="Times New Roman" w:eastAsia="楷体_GB2312"/>
          <w:bCs/>
          <w:sz w:val="24"/>
        </w:rPr>
        <w:t>系指【受托机构全称】，以及任何允许的继任机构。</w:t>
      </w:r>
    </w:p>
    <w:p w14:paraId="4DEBC1F3">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受益人：</w:t>
      </w:r>
      <w:r>
        <w:rPr>
          <w:rFonts w:ascii="Times New Roman" w:hAnsi="Times New Roman" w:eastAsia="楷体_GB2312"/>
          <w:bCs/>
          <w:sz w:val="24"/>
        </w:rPr>
        <w:t>统指“资产支持证券持有人”。</w:t>
      </w:r>
    </w:p>
    <w:p w14:paraId="687C7618">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资产支持证券持有人：</w:t>
      </w:r>
      <w:r>
        <w:rPr>
          <w:rFonts w:ascii="Times New Roman" w:hAnsi="Times New Roman" w:eastAsia="楷体_GB2312"/>
          <w:bCs/>
          <w:sz w:val="24"/>
        </w:rPr>
        <w:t>系指任何持有“资产支持证券”的投资机构。根据其持有的不同“资产支持证券”的类别，本“信托”项下“资产支持证券”持有人分为“优先级资产支持证券持有人”和“次级资产支持证券持有人”。</w:t>
      </w:r>
    </w:p>
    <w:p w14:paraId="09CB695D">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优先级资产支持证券持有人：</w:t>
      </w:r>
      <w:r>
        <w:rPr>
          <w:rFonts w:ascii="Times New Roman" w:hAnsi="Times New Roman" w:eastAsia="楷体_GB2312"/>
          <w:bCs/>
          <w:sz w:val="24"/>
        </w:rPr>
        <w:t>系指“优先级资产支持证券”的持有人，包括“优先A级资产支持证券持有人”和“优先B级资产支持证券持有人”。</w:t>
      </w:r>
    </w:p>
    <w:p w14:paraId="5B95C4D0">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优先A级资产支持证券持有人：</w:t>
      </w:r>
      <w:r>
        <w:rPr>
          <w:rFonts w:ascii="Times New Roman" w:hAnsi="Times New Roman" w:eastAsia="楷体_GB2312"/>
          <w:bCs/>
          <w:sz w:val="24"/>
        </w:rPr>
        <w:t>系指“优先A级资产支持证券”的持有人。</w:t>
      </w:r>
    </w:p>
    <w:p w14:paraId="1BAC49F7">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优先B级资产支持证券持有人：</w:t>
      </w:r>
      <w:r>
        <w:rPr>
          <w:rFonts w:ascii="Times New Roman" w:hAnsi="Times New Roman" w:eastAsia="楷体_GB2312"/>
          <w:bCs/>
          <w:sz w:val="24"/>
        </w:rPr>
        <w:t>系指“优先B级资产支持证券”的持有人。</w:t>
      </w:r>
    </w:p>
    <w:p w14:paraId="3B9E3982">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次级资产支持证券持有人：</w:t>
      </w:r>
      <w:r>
        <w:rPr>
          <w:rFonts w:ascii="Times New Roman" w:hAnsi="Times New Roman" w:eastAsia="楷体_GB2312"/>
          <w:bCs/>
          <w:sz w:val="24"/>
        </w:rPr>
        <w:t>系指“次级资产支持证券”的持有人。</w:t>
      </w:r>
    </w:p>
    <w:p w14:paraId="40111395">
      <w:pPr>
        <w:tabs>
          <w:tab w:val="left" w:pos="425"/>
          <w:tab w:val="left" w:pos="851"/>
          <w:tab w:val="left" w:pos="4973"/>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bCs/>
          <w:i/>
          <w:iCs/>
          <w:color w:val="FF0000"/>
          <w:sz w:val="24"/>
        </w:rPr>
        <w:t>【注：资产支持证券持有人的定义可根据项目资产支持证券分层结果细分调整。】</w:t>
      </w:r>
    </w:p>
    <w:p w14:paraId="6A290F6C">
      <w:pPr>
        <w:pStyle w:val="6"/>
        <w:spacing w:before="156" w:beforeLines="50" w:after="156" w:afterLines="50" w:line="360" w:lineRule="auto"/>
        <w:ind w:left="0" w:leftChars="0"/>
        <w:outlineLvl w:val="2"/>
        <w:rPr>
          <w:rFonts w:ascii="Times New Roman" w:hAnsi="Times New Roman" w:eastAsia="楷体_GB2312"/>
          <w:b/>
          <w:sz w:val="24"/>
        </w:rPr>
      </w:pPr>
      <w:bookmarkStart w:id="8" w:name="_Toc173860432"/>
      <w:r>
        <w:rPr>
          <w:rFonts w:ascii="Times New Roman" w:hAnsi="Times New Roman" w:eastAsia="楷体_GB2312"/>
          <w:b/>
          <w:sz w:val="24"/>
        </w:rPr>
        <w:t>2、参与机构</w:t>
      </w:r>
      <w:bookmarkEnd w:id="8"/>
    </w:p>
    <w:p w14:paraId="44418956">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bCs/>
          <w:sz w:val="24"/>
        </w:rPr>
        <w:t>发行人</w:t>
      </w:r>
      <w:r>
        <w:rPr>
          <w:rFonts w:hint="eastAsia" w:ascii="Times New Roman" w:hAnsi="Times New Roman" w:eastAsia="楷体_GB2312"/>
          <w:b/>
          <w:bCs/>
          <w:sz w:val="24"/>
        </w:rPr>
        <w:t>：</w:t>
      </w:r>
      <w:r>
        <w:rPr>
          <w:rFonts w:ascii="Times New Roman" w:hAnsi="Times New Roman" w:eastAsia="楷体_GB2312"/>
          <w:bCs/>
          <w:sz w:val="24"/>
        </w:rPr>
        <w:t>系指【受托机构全称】</w:t>
      </w:r>
      <w:r>
        <w:rPr>
          <w:rFonts w:hint="eastAsia" w:ascii="Times New Roman" w:hAnsi="Times New Roman" w:eastAsia="楷体_GB2312"/>
          <w:bCs/>
          <w:sz w:val="24"/>
        </w:rPr>
        <w:t>。</w:t>
      </w:r>
    </w:p>
    <w:p w14:paraId="213E7FB0">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牵头主承销商/簿记管理人：</w:t>
      </w:r>
      <w:r>
        <w:rPr>
          <w:rFonts w:ascii="Times New Roman" w:hAnsi="Times New Roman" w:eastAsia="楷体_GB2312"/>
          <w:bCs/>
          <w:sz w:val="24"/>
        </w:rPr>
        <w:t>系指“【牵头主承销商全称】”。</w:t>
      </w:r>
    </w:p>
    <w:p w14:paraId="75B53570">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联席主承销商：</w:t>
      </w:r>
      <w:r>
        <w:rPr>
          <w:rFonts w:ascii="Times New Roman" w:hAnsi="Times New Roman" w:eastAsia="楷体_GB2312"/>
          <w:bCs/>
          <w:sz w:val="24"/>
        </w:rPr>
        <w:t>系指“【联席主承销商全称】”。</w:t>
      </w:r>
    </w:p>
    <w:p w14:paraId="43CFF3DC">
      <w:pPr>
        <w:numPr>
          <w:ilvl w:val="1"/>
          <w:numId w:val="3"/>
        </w:numPr>
        <w:tabs>
          <w:tab w:val="left" w:pos="1145"/>
          <w:tab w:val="clear" w:pos="720"/>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主承销商：</w:t>
      </w:r>
      <w:r>
        <w:rPr>
          <w:rFonts w:ascii="Times New Roman" w:hAnsi="Times New Roman" w:eastAsia="楷体_GB2312"/>
          <w:bCs/>
          <w:sz w:val="24"/>
        </w:rPr>
        <w:t>系指“牵头主承销商”和“联席主承销商”的统称。除上下文另有特别说明外，前述任何一方不单独被称为“主承销商”。</w:t>
      </w:r>
    </w:p>
    <w:p w14:paraId="1BCB2799">
      <w:pPr>
        <w:tabs>
          <w:tab w:val="left" w:pos="425"/>
          <w:tab w:val="left" w:pos="851"/>
          <w:tab w:val="left" w:pos="4973"/>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【注：关于主承销商、牵头主承销商、簿记管理人、联席主承销商的定义，可根据项目实际情况调整。】</w:t>
      </w:r>
    </w:p>
    <w:p w14:paraId="5BBAE8E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承销商/承销团成员：</w:t>
      </w:r>
      <w:r>
        <w:rPr>
          <w:rFonts w:ascii="Times New Roman" w:hAnsi="Times New Roman" w:eastAsia="楷体_GB2312"/>
          <w:bCs/>
          <w:sz w:val="24"/>
        </w:rPr>
        <w:t>系指根据“《承销团协议》”负责承销“资产支持证券”的一家、多家或所有承销机构。</w:t>
      </w:r>
    </w:p>
    <w:p w14:paraId="2C85DB5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承销团：</w:t>
      </w:r>
      <w:r>
        <w:rPr>
          <w:rFonts w:ascii="Times New Roman" w:hAnsi="Times New Roman" w:eastAsia="楷体_GB2312"/>
          <w:bCs/>
          <w:sz w:val="24"/>
        </w:rPr>
        <w:t>系指“牵头主承销商”和“联席主承销商”根据“《承销团协议》”组建的进行“资产支持证券”承销的“承销商”组织。</w:t>
      </w:r>
    </w:p>
    <w:p w14:paraId="263C178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贷款服务机构：</w:t>
      </w:r>
      <w:r>
        <w:rPr>
          <w:rFonts w:ascii="Times New Roman" w:hAnsi="Times New Roman" w:eastAsia="楷体_GB2312"/>
          <w:bCs/>
          <w:sz w:val="24"/>
        </w:rPr>
        <w:t>系指作为“《服务合同》”项下贷款服务机构的“【贷款服务机构全称】”，或“《服务合同》”允许的继任机构。</w:t>
      </w:r>
    </w:p>
    <w:p w14:paraId="6A608DF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后备贷款服务机构：</w:t>
      </w:r>
      <w:r>
        <w:rPr>
          <w:rFonts w:ascii="Times New Roman" w:hAnsi="Times New Roman" w:eastAsia="楷体_GB2312"/>
          <w:bCs/>
          <w:sz w:val="24"/>
        </w:rPr>
        <w:t>系指根据“《服务合同》”的</w:t>
      </w:r>
      <w:r>
        <w:rPr>
          <w:rFonts w:hint="eastAsia" w:ascii="Times New Roman" w:hAnsi="Times New Roman" w:eastAsia="楷体_GB2312"/>
          <w:bCs/>
          <w:sz w:val="24"/>
        </w:rPr>
        <w:t>约定</w:t>
      </w:r>
      <w:r>
        <w:rPr>
          <w:rFonts w:ascii="Times New Roman" w:hAnsi="Times New Roman" w:eastAsia="楷体_GB2312"/>
          <w:bCs/>
          <w:sz w:val="24"/>
        </w:rPr>
        <w:t>任命的“后备贷款服务机构”，以及任何允许的继任机构；“后备贷款服务机构”被启用后，即成为“替代贷款服务机构”。</w:t>
      </w:r>
    </w:p>
    <w:p w14:paraId="1532D50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替代贷款服务机构：</w:t>
      </w:r>
      <w:r>
        <w:rPr>
          <w:rFonts w:ascii="Times New Roman" w:hAnsi="Times New Roman" w:eastAsia="楷体_GB2312"/>
          <w:bCs/>
          <w:sz w:val="24"/>
        </w:rPr>
        <w:t>系指“受托人”根据“《服务合同》”的</w:t>
      </w:r>
      <w:r>
        <w:rPr>
          <w:rFonts w:hint="eastAsia" w:ascii="Times New Roman" w:hAnsi="Times New Roman" w:eastAsia="楷体_GB2312"/>
          <w:bCs/>
          <w:sz w:val="24"/>
        </w:rPr>
        <w:t>约定</w:t>
      </w:r>
      <w:r>
        <w:rPr>
          <w:rFonts w:ascii="Times New Roman" w:hAnsi="Times New Roman" w:eastAsia="楷体_GB2312"/>
          <w:bCs/>
          <w:sz w:val="24"/>
        </w:rPr>
        <w:t>任命的“替代贷款服务机构”，以及任何允许的继任机构。</w:t>
      </w:r>
    </w:p>
    <w:p w14:paraId="5A2281D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资金保管机构：</w:t>
      </w:r>
      <w:r>
        <w:rPr>
          <w:rFonts w:ascii="Times New Roman" w:hAnsi="Times New Roman" w:eastAsia="楷体_GB2312"/>
          <w:bCs/>
          <w:sz w:val="24"/>
        </w:rPr>
        <w:t>系指【资金保管机构全称】或“《资金保管合同》”允许的继任机构。</w:t>
      </w:r>
    </w:p>
    <w:p w14:paraId="78DD212C">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替代资金保管机构：</w:t>
      </w:r>
      <w:r>
        <w:rPr>
          <w:rFonts w:ascii="Times New Roman" w:hAnsi="Times New Roman" w:eastAsia="楷体_GB2312"/>
          <w:bCs/>
          <w:sz w:val="24"/>
        </w:rPr>
        <w:t>系指“受托人”根据“《资金保管合同》”的</w:t>
      </w:r>
      <w:r>
        <w:rPr>
          <w:rFonts w:hint="eastAsia" w:ascii="Times New Roman" w:hAnsi="Times New Roman" w:eastAsia="楷体_GB2312"/>
          <w:bCs/>
          <w:sz w:val="24"/>
        </w:rPr>
        <w:t>约定</w:t>
      </w:r>
      <w:r>
        <w:rPr>
          <w:rFonts w:ascii="Times New Roman" w:hAnsi="Times New Roman" w:eastAsia="楷体_GB2312"/>
          <w:bCs/>
          <w:sz w:val="24"/>
        </w:rPr>
        <w:t>任命的“替代资金保管机构”，以及任何允许的继任机构。</w:t>
      </w:r>
    </w:p>
    <w:p w14:paraId="564E9B0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审计师：</w:t>
      </w:r>
      <w:r>
        <w:rPr>
          <w:rFonts w:ascii="Times New Roman" w:hAnsi="Times New Roman" w:eastAsia="楷体_GB2312"/>
          <w:bCs/>
          <w:sz w:val="24"/>
        </w:rPr>
        <w:t>系指由“受托人”认可的</w:t>
      </w:r>
      <w:r>
        <w:rPr>
          <w:rFonts w:ascii="Times New Roman" w:hAnsi="Times New Roman" w:eastAsia="楷体_GB2312"/>
          <w:color w:val="000000" w:themeColor="text1"/>
          <w:kern w:val="0"/>
          <w:sz w:val="24"/>
          <w14:textFill>
            <w14:solidFill>
              <w14:schemeClr w14:val="tx1"/>
            </w14:solidFill>
          </w14:textFill>
        </w:rPr>
        <w:t>在</w:t>
      </w:r>
      <w:r>
        <w:rPr>
          <w:rFonts w:ascii="Times New Roman" w:hAnsi="Times New Roman" w:eastAsia="楷体_GB2312"/>
          <w:bCs/>
          <w:sz w:val="24"/>
        </w:rPr>
        <w:t>“</w:t>
      </w:r>
      <w:r>
        <w:rPr>
          <w:rFonts w:ascii="Times New Roman" w:hAnsi="Times New Roman" w:eastAsia="楷体_GB2312"/>
          <w:color w:val="000000" w:themeColor="text1"/>
          <w:kern w:val="0"/>
          <w:sz w:val="24"/>
          <w14:textFill>
            <w14:solidFill>
              <w14:schemeClr w14:val="tx1"/>
            </w14:solidFill>
          </w14:textFill>
        </w:rPr>
        <w:t>信托</w:t>
      </w:r>
      <w:r>
        <w:rPr>
          <w:rFonts w:ascii="Times New Roman" w:hAnsi="Times New Roman" w:eastAsia="楷体_GB2312"/>
          <w:bCs/>
          <w:sz w:val="24"/>
        </w:rPr>
        <w:t>”</w:t>
      </w:r>
      <w:r>
        <w:rPr>
          <w:rFonts w:ascii="Times New Roman" w:hAnsi="Times New Roman" w:eastAsia="楷体_GB2312"/>
          <w:color w:val="000000" w:themeColor="text1"/>
          <w:kern w:val="0"/>
          <w:sz w:val="24"/>
          <w14:textFill>
            <w14:solidFill>
              <w14:schemeClr w14:val="tx1"/>
            </w14:solidFill>
          </w14:textFill>
        </w:rPr>
        <w:t>生效后为</w:t>
      </w:r>
      <w:r>
        <w:rPr>
          <w:rFonts w:ascii="Times New Roman" w:hAnsi="Times New Roman" w:eastAsia="楷体_GB2312"/>
          <w:bCs/>
          <w:sz w:val="24"/>
        </w:rPr>
        <w:t>“</w:t>
      </w:r>
      <w:r>
        <w:rPr>
          <w:rFonts w:ascii="Times New Roman" w:hAnsi="Times New Roman" w:eastAsia="楷体_GB2312"/>
          <w:color w:val="000000" w:themeColor="text1"/>
          <w:kern w:val="0"/>
          <w:sz w:val="24"/>
          <w14:textFill>
            <w14:solidFill>
              <w14:schemeClr w14:val="tx1"/>
            </w14:solidFill>
          </w14:textFill>
        </w:rPr>
        <w:t>信托</w:t>
      </w:r>
      <w:r>
        <w:rPr>
          <w:rFonts w:ascii="Times New Roman" w:hAnsi="Times New Roman" w:eastAsia="楷体_GB2312"/>
          <w:bCs/>
          <w:sz w:val="24"/>
        </w:rPr>
        <w:t>”</w:t>
      </w:r>
      <w:r>
        <w:rPr>
          <w:rFonts w:ascii="Times New Roman" w:hAnsi="Times New Roman" w:eastAsia="楷体_GB2312"/>
          <w:color w:val="000000" w:themeColor="text1"/>
          <w:kern w:val="0"/>
          <w:sz w:val="24"/>
          <w14:textFill>
            <w14:solidFill>
              <w14:schemeClr w14:val="tx1"/>
            </w14:solidFill>
          </w14:textFill>
        </w:rPr>
        <w:t>提供审计等服务的</w:t>
      </w:r>
      <w:r>
        <w:rPr>
          <w:rFonts w:ascii="Times New Roman" w:hAnsi="Times New Roman" w:eastAsia="楷体_GB2312"/>
          <w:bCs/>
          <w:sz w:val="24"/>
        </w:rPr>
        <w:t>会计师事务所。</w:t>
      </w:r>
    </w:p>
    <w:p w14:paraId="209E5A1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评级机构：</w:t>
      </w:r>
      <w:r>
        <w:rPr>
          <w:rFonts w:ascii="Times New Roman" w:hAnsi="Times New Roman" w:eastAsia="楷体_GB2312"/>
          <w:bCs/>
          <w:sz w:val="24"/>
        </w:rPr>
        <w:t>系指【评级机构1全称】和【评级机构2全称】。下文所称任一评级机构，指“【评级机构1简称】”或“【评级机构2简称】”；除上下文另有特别说明外，“【评级机构1简称】”或“【评级机构2简称】”任何一方不单独被称为“评级机构”。如果“【评级机构1简称】”或“【评级机构2简称】”一方暂时无法提供主体长期信用等级时，则以另一方提供的主体长期信用等级为准。</w:t>
      </w:r>
    </w:p>
    <w:p w14:paraId="75F342E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【评级机构1简称】：</w:t>
      </w:r>
      <w:r>
        <w:rPr>
          <w:rFonts w:ascii="Times New Roman" w:hAnsi="Times New Roman" w:eastAsia="楷体_GB2312"/>
          <w:bCs/>
          <w:sz w:val="24"/>
        </w:rPr>
        <w:t>系指【评级机构1全称】。</w:t>
      </w:r>
    </w:p>
    <w:p w14:paraId="105A7F3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【评级机构2简称】：</w:t>
      </w:r>
      <w:r>
        <w:rPr>
          <w:rFonts w:ascii="Times New Roman" w:hAnsi="Times New Roman" w:eastAsia="楷体_GB2312"/>
          <w:bCs/>
          <w:sz w:val="24"/>
        </w:rPr>
        <w:t>系指【评级机构2全称】。</w:t>
      </w:r>
    </w:p>
    <w:p w14:paraId="7AD059F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登记托管机构：</w:t>
      </w:r>
      <w:r>
        <w:rPr>
          <w:rFonts w:ascii="Times New Roman" w:hAnsi="Times New Roman" w:eastAsia="楷体_GB2312"/>
          <w:bCs/>
          <w:sz w:val="24"/>
        </w:rPr>
        <w:t>系指中央国债登记结算有限责任公司或其他“监管</w:t>
      </w:r>
      <w:r>
        <w:rPr>
          <w:rFonts w:hint="eastAsia" w:ascii="Times New Roman" w:hAnsi="Times New Roman" w:eastAsia="楷体_GB2312"/>
          <w:bCs/>
          <w:sz w:val="24"/>
        </w:rPr>
        <w:t>部门</w:t>
      </w:r>
      <w:r>
        <w:rPr>
          <w:rFonts w:ascii="Times New Roman" w:hAnsi="Times New Roman" w:eastAsia="楷体_GB2312"/>
          <w:bCs/>
          <w:sz w:val="24"/>
        </w:rPr>
        <w:t>”认可的登记结算公司。</w:t>
      </w:r>
    </w:p>
    <w:p w14:paraId="26176C6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支付代理机构：</w:t>
      </w:r>
      <w:r>
        <w:rPr>
          <w:rFonts w:ascii="Times New Roman" w:hAnsi="Times New Roman" w:eastAsia="楷体_GB2312"/>
          <w:bCs/>
          <w:color w:val="000000" w:themeColor="text1"/>
          <w:sz w:val="24"/>
          <w14:textFill>
            <w14:solidFill>
              <w14:schemeClr w14:val="tx1"/>
            </w14:solidFill>
          </w14:textFill>
        </w:rPr>
        <w:t>系指</w:t>
      </w:r>
      <w:r>
        <w:rPr>
          <w:rFonts w:ascii="Times New Roman" w:hAnsi="Times New Roman" w:eastAsia="楷体_GB2312"/>
          <w:bCs/>
          <w:sz w:val="24"/>
        </w:rPr>
        <w:t>中央国债登记结算有限责任公司或其他“监管</w:t>
      </w:r>
      <w:r>
        <w:rPr>
          <w:rFonts w:hint="eastAsia" w:ascii="Times New Roman" w:hAnsi="Times New Roman" w:eastAsia="楷体_GB2312"/>
          <w:bCs/>
          <w:sz w:val="24"/>
        </w:rPr>
        <w:t>部门</w:t>
      </w:r>
      <w:r>
        <w:rPr>
          <w:rFonts w:ascii="Times New Roman" w:hAnsi="Times New Roman" w:eastAsia="楷体_GB2312"/>
          <w:bCs/>
          <w:sz w:val="24"/>
        </w:rPr>
        <w:t>”认可的登记结算公司。</w:t>
      </w:r>
    </w:p>
    <w:p w14:paraId="6BA5D2ED">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法律顾问：</w:t>
      </w:r>
      <w:r>
        <w:rPr>
          <w:rFonts w:ascii="Times New Roman" w:hAnsi="Times New Roman" w:eastAsia="楷体_GB2312"/>
          <w:bCs/>
          <w:sz w:val="24"/>
        </w:rPr>
        <w:t>系指【法律顾问全称】。</w:t>
      </w:r>
    </w:p>
    <w:p w14:paraId="5399BA7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会计顾问</w:t>
      </w:r>
      <w:r>
        <w:rPr>
          <w:rFonts w:ascii="Times New Roman" w:hAnsi="Times New Roman" w:eastAsia="楷体_GB2312"/>
          <w:b/>
          <w:color w:val="000000" w:themeColor="text1"/>
          <w:sz w:val="24"/>
          <w14:textFill>
            <w14:solidFill>
              <w14:schemeClr w14:val="tx1"/>
            </w14:solidFill>
          </w14:textFill>
        </w:rPr>
        <w:t>/税务顾问</w:t>
      </w:r>
      <w:r>
        <w:rPr>
          <w:rFonts w:ascii="Times New Roman" w:hAnsi="Times New Roman" w:eastAsia="楷体_GB2312"/>
          <w:b/>
          <w:sz w:val="24"/>
        </w:rPr>
        <w:t>：</w:t>
      </w:r>
      <w:r>
        <w:rPr>
          <w:rFonts w:ascii="Times New Roman" w:hAnsi="Times New Roman" w:eastAsia="楷体_GB2312"/>
          <w:bCs/>
          <w:sz w:val="24"/>
        </w:rPr>
        <w:t>系指【会计顾问全称】。</w:t>
      </w:r>
    </w:p>
    <w:p w14:paraId="4B92741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评估机构：</w:t>
      </w:r>
      <w:r>
        <w:rPr>
          <w:rFonts w:ascii="Times New Roman" w:hAnsi="Times New Roman" w:eastAsia="楷体_GB2312"/>
          <w:bCs/>
          <w:sz w:val="24"/>
        </w:rPr>
        <w:t>系指【评估机构全称】。</w:t>
      </w:r>
    </w:p>
    <w:p w14:paraId="4C7B830C">
      <w:pPr>
        <w:tabs>
          <w:tab w:val="left" w:pos="425"/>
          <w:tab w:val="left" w:pos="851"/>
          <w:tab w:val="left" w:pos="4973"/>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【注：会计顾问</w:t>
      </w:r>
      <w:r>
        <w:rPr>
          <w:rFonts w:ascii="Times New Roman" w:hAnsi="Times New Roman" w:eastAsia="楷体_GB2312"/>
          <w:b/>
          <w:bCs/>
          <w:i/>
          <w:iCs/>
          <w:color w:val="FF0000"/>
          <w:sz w:val="24"/>
        </w:rPr>
        <w:t>/税务</w:t>
      </w:r>
      <w:r>
        <w:rPr>
          <w:rFonts w:hint="eastAsia" w:ascii="Times New Roman" w:hAnsi="Times New Roman" w:eastAsia="楷体_GB2312"/>
          <w:b/>
          <w:bCs/>
          <w:i/>
          <w:iCs/>
          <w:color w:val="FF0000"/>
          <w:sz w:val="24"/>
        </w:rPr>
        <w:t>顾问</w:t>
      </w:r>
      <w:r>
        <w:rPr>
          <w:rFonts w:ascii="Times New Roman" w:hAnsi="Times New Roman" w:eastAsia="楷体_GB2312"/>
          <w:b/>
          <w:i/>
          <w:iCs/>
          <w:color w:val="FF0000"/>
          <w:sz w:val="24"/>
        </w:rPr>
        <w:t>、法律顾问、评估机构均指项目发行时的中介机构，可视项目情况调整。】</w:t>
      </w:r>
    </w:p>
    <w:p w14:paraId="395F392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同业拆借中心：</w:t>
      </w:r>
      <w:r>
        <w:rPr>
          <w:rFonts w:ascii="Times New Roman" w:hAnsi="Times New Roman" w:eastAsia="楷体_GB2312"/>
          <w:bCs/>
          <w:sz w:val="24"/>
        </w:rPr>
        <w:t>系指全国银行间同业拆借中心。</w:t>
      </w:r>
    </w:p>
    <w:p w14:paraId="15206630">
      <w:pPr>
        <w:numPr>
          <w:ilvl w:val="1"/>
          <w:numId w:val="3"/>
        </w:numPr>
        <w:tabs>
          <w:tab w:val="left" w:pos="851"/>
          <w:tab w:val="left" w:pos="1145"/>
          <w:tab w:val="clear" w:pos="720"/>
        </w:tabs>
        <w:spacing w:before="156" w:beforeLines="50" w:after="156" w:afterLines="50" w:line="360" w:lineRule="auto"/>
        <w:ind w:left="851" w:hanging="851"/>
        <w:rPr>
          <w:rFonts w:ascii="Times New Roman" w:hAnsi="Times New Roman" w:eastAsia="楷体_GB2312"/>
          <w:color w:val="000000" w:themeColor="text1"/>
          <w:sz w:val="24"/>
          <w14:textFill>
            <w14:solidFill>
              <w14:schemeClr w14:val="tx1"/>
            </w14:solidFill>
          </w14:textFill>
        </w:rPr>
      </w:pPr>
      <w:r>
        <w:rPr>
          <w:rFonts w:ascii="Times New Roman" w:hAnsi="Times New Roman" w:eastAsia="楷体_GB2312"/>
          <w:b/>
          <w:color w:val="000000" w:themeColor="text1"/>
          <w:kern w:val="0"/>
          <w:sz w:val="24"/>
          <w14:textFill>
            <w14:solidFill>
              <w14:schemeClr w14:val="tx1"/>
            </w14:solidFill>
          </w14:textFill>
        </w:rPr>
        <w:t>北金所：</w:t>
      </w:r>
      <w:r>
        <w:rPr>
          <w:rFonts w:ascii="Times New Roman" w:hAnsi="Times New Roman" w:eastAsia="楷体_GB2312"/>
          <w:color w:val="000000" w:themeColor="text1"/>
          <w:kern w:val="0"/>
          <w:sz w:val="24"/>
          <w14:textFill>
            <w14:solidFill>
              <w14:schemeClr w14:val="tx1"/>
            </w14:solidFill>
          </w14:textFill>
        </w:rPr>
        <w:t>系指北京金融资产交易所。</w:t>
      </w:r>
    </w:p>
    <w:p w14:paraId="16FCEAD3">
      <w:pPr>
        <w:pStyle w:val="6"/>
        <w:spacing w:before="156" w:beforeLines="50" w:after="156" w:afterLines="50" w:line="360" w:lineRule="auto"/>
        <w:ind w:left="0" w:leftChars="0"/>
        <w:outlineLvl w:val="2"/>
        <w:rPr>
          <w:rFonts w:ascii="Times New Roman" w:hAnsi="Times New Roman" w:eastAsia="楷体_GB2312"/>
          <w:b/>
          <w:sz w:val="24"/>
        </w:rPr>
      </w:pPr>
      <w:r>
        <w:rPr>
          <w:rFonts w:ascii="Times New Roman" w:hAnsi="Times New Roman" w:eastAsia="楷体_GB2312"/>
          <w:b/>
          <w:sz w:val="24"/>
        </w:rPr>
        <w:t>3、审批、监管与登记机构</w:t>
      </w:r>
    </w:p>
    <w:p w14:paraId="7FC95AA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金融监管总局：</w:t>
      </w:r>
      <w:r>
        <w:rPr>
          <w:rFonts w:ascii="Times New Roman" w:hAnsi="Times New Roman" w:eastAsia="楷体_GB2312"/>
          <w:bCs/>
          <w:sz w:val="24"/>
        </w:rPr>
        <w:t>系指国家金融监督管理总局。就原中国银行保险监督管理委员会、原中国银行业监督管理委员会发布的规章、规范性文件、出具的批准文件、颁发的许可证等材料，如未失效或被废止，则“交易文件”中的“金融监管总局”也指原中国银行保险监督管理委员会、原中国银行业监督管理委员会。</w:t>
      </w:r>
    </w:p>
    <w:p w14:paraId="6AA75C6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人民银行：</w:t>
      </w:r>
      <w:r>
        <w:rPr>
          <w:rFonts w:ascii="Times New Roman" w:hAnsi="Times New Roman" w:eastAsia="楷体_GB2312"/>
          <w:bCs/>
          <w:sz w:val="24"/>
        </w:rPr>
        <w:t>系指中国人民银行。</w:t>
      </w:r>
    </w:p>
    <w:p w14:paraId="3190F45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监管部门：</w:t>
      </w:r>
      <w:r>
        <w:rPr>
          <w:rFonts w:ascii="Times New Roman" w:hAnsi="Times New Roman" w:eastAsia="楷体_GB2312"/>
          <w:bCs/>
          <w:sz w:val="24"/>
        </w:rPr>
        <w:t>系指</w:t>
      </w:r>
      <w:r>
        <w:rPr>
          <w:rFonts w:ascii="Times New Roman" w:hAnsi="Times New Roman" w:eastAsia="楷体_GB2312"/>
          <w:sz w:val="24"/>
        </w:rPr>
        <w:t>“</w:t>
      </w:r>
      <w:r>
        <w:rPr>
          <w:rFonts w:ascii="Times New Roman" w:hAnsi="Times New Roman" w:eastAsia="楷体_GB2312"/>
          <w:bCs/>
          <w:sz w:val="24"/>
        </w:rPr>
        <w:t>人民银行</w:t>
      </w:r>
      <w:r>
        <w:rPr>
          <w:rFonts w:ascii="Times New Roman" w:hAnsi="Times New Roman" w:eastAsia="楷体_GB2312"/>
          <w:sz w:val="24"/>
        </w:rPr>
        <w:t>”</w:t>
      </w:r>
      <w:r>
        <w:rPr>
          <w:rFonts w:ascii="Times New Roman" w:hAnsi="Times New Roman" w:eastAsia="楷体_GB2312"/>
          <w:bCs/>
          <w:sz w:val="24"/>
        </w:rPr>
        <w:t>、</w:t>
      </w:r>
      <w:r>
        <w:rPr>
          <w:rFonts w:ascii="Times New Roman" w:hAnsi="Times New Roman" w:eastAsia="楷体_GB2312"/>
          <w:sz w:val="24"/>
        </w:rPr>
        <w:t>“</w:t>
      </w:r>
      <w:r>
        <w:rPr>
          <w:rFonts w:ascii="Times New Roman" w:hAnsi="Times New Roman" w:eastAsia="楷体_GB2312"/>
          <w:bCs/>
          <w:sz w:val="24"/>
        </w:rPr>
        <w:t>金融监管总局</w:t>
      </w:r>
      <w:r>
        <w:rPr>
          <w:rFonts w:ascii="Times New Roman" w:hAnsi="Times New Roman" w:eastAsia="楷体_GB2312"/>
          <w:sz w:val="24"/>
        </w:rPr>
        <w:t>”</w:t>
      </w:r>
      <w:r>
        <w:rPr>
          <w:rFonts w:ascii="Times New Roman" w:hAnsi="Times New Roman" w:eastAsia="楷体_GB2312"/>
          <w:bCs/>
          <w:sz w:val="24"/>
        </w:rPr>
        <w:t>等国家金融业监管机构。</w:t>
      </w:r>
    </w:p>
    <w:p w14:paraId="20FAC9C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交易商协会：</w:t>
      </w:r>
      <w:r>
        <w:rPr>
          <w:rFonts w:ascii="Times New Roman" w:hAnsi="Times New Roman" w:eastAsia="楷体_GB2312"/>
          <w:bCs/>
          <w:sz w:val="24"/>
        </w:rPr>
        <w:t>系指中国银行间市场交易商协会。</w:t>
      </w:r>
    </w:p>
    <w:p w14:paraId="501ADFA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bCs/>
          <w:sz w:val="24"/>
        </w:rPr>
        <w:t>银登中心：</w:t>
      </w:r>
      <w:r>
        <w:rPr>
          <w:rFonts w:ascii="Times New Roman" w:hAnsi="Times New Roman" w:eastAsia="楷体_GB2312"/>
          <w:bCs/>
          <w:sz w:val="24"/>
        </w:rPr>
        <w:t>系指银行业信贷资产登记流转中心有限公司。</w:t>
      </w:r>
    </w:p>
    <w:p w14:paraId="3202209F">
      <w:pPr>
        <w:pStyle w:val="6"/>
        <w:numPr>
          <w:ilvl w:val="0"/>
          <w:numId w:val="4"/>
        </w:numPr>
        <w:spacing w:before="156" w:beforeLines="50" w:after="156" w:afterLines="50" w:line="360" w:lineRule="auto"/>
        <w:ind w:leftChars="0"/>
        <w:outlineLvl w:val="1"/>
        <w:rPr>
          <w:rFonts w:ascii="Times New Roman" w:hAnsi="Times New Roman" w:eastAsia="楷体_GB2312"/>
          <w:b/>
          <w:sz w:val="24"/>
        </w:rPr>
      </w:pPr>
      <w:bookmarkStart w:id="9" w:name="_Toc173860433"/>
      <w:r>
        <w:rPr>
          <w:rFonts w:ascii="Times New Roman" w:hAnsi="Times New Roman" w:eastAsia="楷体_GB2312"/>
          <w:b/>
          <w:sz w:val="24"/>
        </w:rPr>
        <w:t>交易</w:t>
      </w:r>
      <w:bookmarkEnd w:id="9"/>
      <w:r>
        <w:rPr>
          <w:rFonts w:ascii="Times New Roman" w:hAnsi="Times New Roman" w:eastAsia="楷体_GB2312"/>
          <w:b/>
          <w:sz w:val="24"/>
        </w:rPr>
        <w:t>文件</w:t>
      </w:r>
    </w:p>
    <w:p w14:paraId="16AA344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bCs/>
          <w:sz w:val="24"/>
        </w:rPr>
      </w:pPr>
      <w:r>
        <w:rPr>
          <w:rFonts w:ascii="Times New Roman" w:hAnsi="Times New Roman" w:eastAsia="楷体_GB2312"/>
          <w:b/>
          <w:sz w:val="24"/>
        </w:rPr>
        <w:t>交易</w:t>
      </w:r>
      <w:r>
        <w:rPr>
          <w:rFonts w:ascii="Times New Roman" w:hAnsi="Times New Roman" w:eastAsia="楷体_GB2312"/>
          <w:b/>
          <w:bCs/>
          <w:sz w:val="24"/>
        </w:rPr>
        <w:t>文件：</w:t>
      </w:r>
      <w:r>
        <w:rPr>
          <w:rFonts w:ascii="Times New Roman" w:hAnsi="Times New Roman" w:eastAsia="楷体_GB2312"/>
          <w:sz w:val="24"/>
        </w:rPr>
        <w:t>系指“《主定义表》”、“《信托合同》”、“《服务合同》”、“《资产持续购买合同》”（如适用）、“《资金保管合同》”、“《承销协议》”、“《承销团协议》”、“债券发行、登记及代理兑付服务协议”、“收费文件”以及其他相关的协议和文件。</w:t>
      </w:r>
    </w:p>
    <w:p w14:paraId="1AA44A55">
      <w:pPr>
        <w:tabs>
          <w:tab w:val="left" w:pos="851"/>
          <w:tab w:val="left" w:pos="1145"/>
        </w:tabs>
        <w:spacing w:before="156" w:beforeLines="50" w:after="156" w:afterLines="50"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【注：本标准</w:t>
      </w:r>
      <w:r>
        <w:rPr>
          <w:rFonts w:hint="eastAsia" w:ascii="Times New Roman" w:hAnsi="Times New Roman" w:eastAsia="楷体_GB2312"/>
          <w:b/>
          <w:bCs/>
          <w:i/>
          <w:iCs/>
          <w:color w:val="FF0000"/>
          <w:sz w:val="24"/>
          <w:lang w:val="en-US" w:eastAsia="zh-CN"/>
        </w:rPr>
        <w:t>合同</w:t>
      </w:r>
      <w:r>
        <w:rPr>
          <w:rFonts w:ascii="Times New Roman" w:hAnsi="Times New Roman" w:eastAsia="楷体_GB2312"/>
          <w:b/>
          <w:bCs/>
          <w:i/>
          <w:iCs/>
          <w:color w:val="FF0000"/>
          <w:sz w:val="24"/>
        </w:rPr>
        <w:t>中包含了信托设立后持续购买资产的安排，关于具体的持续购买可以另行签订《资产持续购买合同》进行约定，亦可以通过条款的形式在相关合同中予以体现。如具体项目不涉及持续购买安排，使用时需删除持续购买相关内容。】</w:t>
      </w:r>
    </w:p>
    <w:p w14:paraId="2BC45DB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《主定义表》：</w:t>
      </w:r>
      <w:r>
        <w:rPr>
          <w:rFonts w:ascii="Times New Roman" w:hAnsi="Times New Roman" w:eastAsia="楷体_GB2312"/>
          <w:bCs/>
          <w:sz w:val="24"/>
        </w:rPr>
        <w:t>系指由定义、释义或解释条款所构成的本定义表。</w:t>
      </w:r>
    </w:p>
    <w:p w14:paraId="274D2B1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《信托合同》：</w:t>
      </w:r>
      <w:r>
        <w:rPr>
          <w:rFonts w:ascii="Times New Roman" w:hAnsi="Times New Roman" w:eastAsia="楷体_GB2312"/>
          <w:bCs/>
          <w:sz w:val="24"/>
        </w:rPr>
        <w:t>系指“委托人”与“受托人”签署的编号为【】的《【信托名称】之信托合同》及对该合同的任何修改或补充。</w:t>
      </w:r>
    </w:p>
    <w:p w14:paraId="567A44B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《服务合同》：</w:t>
      </w:r>
      <w:r>
        <w:rPr>
          <w:rFonts w:ascii="Times New Roman" w:hAnsi="Times New Roman" w:eastAsia="楷体_GB2312"/>
          <w:bCs/>
          <w:sz w:val="24"/>
        </w:rPr>
        <w:t>系指“受托人”与“贷款服务机构”签署的编号为【】的《【信托名称】服务合同》及对该合同的任何修改或补充。</w:t>
      </w:r>
    </w:p>
    <w:p w14:paraId="2BAA8E3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《资金保管合同》：</w:t>
      </w:r>
      <w:r>
        <w:rPr>
          <w:rFonts w:ascii="Times New Roman" w:hAnsi="Times New Roman" w:eastAsia="楷体_GB2312"/>
          <w:bCs/>
          <w:sz w:val="24"/>
        </w:rPr>
        <w:t>系指“受托人”与“资金保管机构”签署的编号为【】的《【信托名称】资金保管合同》及对该合同的任何修改或补充。</w:t>
      </w:r>
    </w:p>
    <w:p w14:paraId="491E081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《资产持续购买合同》：</w:t>
      </w:r>
      <w:r>
        <w:rPr>
          <w:rFonts w:ascii="Times New Roman" w:hAnsi="Times New Roman" w:eastAsia="楷体_GB2312"/>
          <w:bCs/>
          <w:sz w:val="24"/>
        </w:rPr>
        <w:t>系指“委托人”作为“卖方”与“受托人”作为“买方”签署的编号为【】的《【信托名称】资产持续购买合同》及对该合同的任何修改或补充。</w:t>
      </w:r>
    </w:p>
    <w:p w14:paraId="2028C10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《承销协议》：</w:t>
      </w:r>
      <w:r>
        <w:rPr>
          <w:rFonts w:ascii="Times New Roman" w:hAnsi="Times New Roman" w:eastAsia="楷体_GB2312"/>
          <w:bCs/>
          <w:sz w:val="24"/>
        </w:rPr>
        <w:t>系指“发起机构”、“受托人”与“牵头主承销商”、“联席主承销商”签署的编号为【】的《【资产支持证券名称】承销协议》及对该协议的任何修改或补充。</w:t>
      </w:r>
    </w:p>
    <w:p w14:paraId="56821A9C">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《承销团协议》：</w:t>
      </w:r>
      <w:r>
        <w:rPr>
          <w:rFonts w:ascii="Times New Roman" w:hAnsi="Times New Roman" w:eastAsia="楷体_GB2312"/>
          <w:bCs/>
          <w:sz w:val="24"/>
        </w:rPr>
        <w:t>系指“牵头主承销商”、“联席主承销商”与各“承销商”签署的</w:t>
      </w:r>
      <w:r>
        <w:rPr>
          <w:rFonts w:hint="eastAsia" w:ascii="Times New Roman" w:hAnsi="Times New Roman" w:eastAsia="楷体_GB2312"/>
          <w:bCs/>
          <w:sz w:val="24"/>
        </w:rPr>
        <w:t>《</w:t>
      </w:r>
      <w:r>
        <w:rPr>
          <w:rFonts w:ascii="Times New Roman" w:hAnsi="Times New Roman" w:eastAsia="楷体_GB2312"/>
          <w:bCs/>
          <w:sz w:val="24"/>
        </w:rPr>
        <w:t>【资产支持证券名称】个人消费贷款资产支持证券承销团协议》及对该协议的任何修改或补充。</w:t>
      </w:r>
    </w:p>
    <w:p w14:paraId="5843B02E">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债券发行、登记及代理兑付服务协议：</w:t>
      </w:r>
      <w:r>
        <w:rPr>
          <w:rFonts w:ascii="Times New Roman" w:hAnsi="Times New Roman" w:eastAsia="楷体_GB2312"/>
          <w:bCs/>
          <w:sz w:val="24"/>
        </w:rPr>
        <w:t>系指“受托人”与“登记托管机构”/“支付代理机构”签署的关于债券发行、登记及代理兑付服务的相关协议及对该协议的任何修改或补充。</w:t>
      </w:r>
    </w:p>
    <w:p w14:paraId="37CAC8ED">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收费文件：</w:t>
      </w:r>
      <w:r>
        <w:rPr>
          <w:rFonts w:ascii="Times New Roman" w:hAnsi="Times New Roman" w:eastAsia="楷体_GB2312"/>
          <w:bCs/>
          <w:sz w:val="24"/>
        </w:rPr>
        <w:t>统指“受托人”与“委托人”、“贷款服务机构”、“资金保管机构”、“评级机构”、“审计师”、“登记托管机构”</w:t>
      </w:r>
      <w:r>
        <w:rPr>
          <w:rFonts w:hint="eastAsia" w:ascii="Times New Roman" w:hAnsi="Times New Roman" w:eastAsia="楷体_GB2312"/>
          <w:bCs/>
          <w:sz w:val="24"/>
        </w:rPr>
        <w:t>/</w:t>
      </w:r>
      <w:r>
        <w:rPr>
          <w:rFonts w:ascii="Times New Roman" w:hAnsi="Times New Roman" w:eastAsia="楷体_GB2312"/>
          <w:sz w:val="24"/>
        </w:rPr>
        <w:t>“支付代理机构</w:t>
      </w:r>
      <w:r>
        <w:rPr>
          <w:rFonts w:ascii="Times New Roman" w:hAnsi="Times New Roman" w:eastAsia="楷体_GB2312"/>
          <w:bCs/>
          <w:sz w:val="24"/>
        </w:rPr>
        <w:t>”及其他为“信托”提供服务的机构签署的、有关报酬和费用支付的合同、协议或其他文件。</w:t>
      </w:r>
      <w:bookmarkStart w:id="10" w:name="_Hlk47803487"/>
    </w:p>
    <w:p w14:paraId="798AFB5E">
      <w:pPr>
        <w:tabs>
          <w:tab w:val="left" w:pos="425"/>
          <w:tab w:val="left" w:pos="851"/>
          <w:tab w:val="left" w:pos="4973"/>
        </w:tabs>
        <w:spacing w:before="156" w:beforeLines="50" w:after="156" w:afterLines="50" w:line="360" w:lineRule="auto"/>
        <w:ind w:left="840" w:leftChars="400"/>
        <w:rPr>
          <w:rFonts w:ascii="Times New Roman" w:hAnsi="Times New Roman" w:eastAsia="楷体_GB2312"/>
          <w:b/>
          <w:bCs/>
          <w:i/>
          <w:iCs/>
          <w:color w:val="FF0000"/>
          <w:sz w:val="24"/>
        </w:rPr>
      </w:pPr>
      <w:r>
        <w:rPr>
          <w:rFonts w:ascii="Times New Roman" w:hAnsi="Times New Roman" w:eastAsia="楷体_GB2312"/>
          <w:b/>
          <w:i/>
          <w:iCs/>
          <w:color w:val="FF0000"/>
          <w:sz w:val="24"/>
        </w:rPr>
        <w:t>【</w:t>
      </w:r>
      <w:bookmarkEnd w:id="10"/>
      <w:r>
        <w:rPr>
          <w:rFonts w:ascii="Times New Roman" w:hAnsi="Times New Roman" w:eastAsia="楷体_GB2312"/>
          <w:b/>
          <w:bCs/>
          <w:i/>
          <w:iCs/>
          <w:color w:val="FF0000"/>
          <w:sz w:val="24"/>
        </w:rPr>
        <w:t>注：“收费文件”的范围待根据项目的费用承担具体方式进行调整。】</w:t>
      </w:r>
    </w:p>
    <w:p w14:paraId="63DA4C18">
      <w:pPr>
        <w:pStyle w:val="6"/>
        <w:spacing w:before="156" w:beforeLines="50" w:after="156" w:afterLines="50" w:line="360" w:lineRule="auto"/>
        <w:ind w:left="0" w:leftChars="0"/>
        <w:outlineLvl w:val="1"/>
        <w:rPr>
          <w:rFonts w:ascii="Times New Roman" w:hAnsi="Times New Roman" w:eastAsia="楷体_GB2312"/>
          <w:b/>
          <w:sz w:val="24"/>
        </w:rPr>
      </w:pPr>
      <w:bookmarkStart w:id="11" w:name="_Toc173860434"/>
      <w:r>
        <w:rPr>
          <w:rFonts w:ascii="Times New Roman" w:hAnsi="Times New Roman" w:eastAsia="楷体_GB2312"/>
          <w:b/>
          <w:sz w:val="24"/>
        </w:rPr>
        <w:t>（三）资产池与信托</w:t>
      </w:r>
      <w:bookmarkEnd w:id="11"/>
    </w:p>
    <w:p w14:paraId="48A613CD">
      <w:pPr>
        <w:pStyle w:val="6"/>
        <w:spacing w:before="156" w:beforeLines="50" w:after="156" w:afterLines="50" w:line="360" w:lineRule="auto"/>
        <w:ind w:left="0" w:leftChars="0"/>
        <w:outlineLvl w:val="2"/>
        <w:rPr>
          <w:rFonts w:ascii="Times New Roman" w:hAnsi="Times New Roman" w:eastAsia="楷体_GB2312"/>
          <w:b/>
          <w:sz w:val="24"/>
        </w:rPr>
      </w:pPr>
      <w:bookmarkStart w:id="12" w:name="_Toc173860435"/>
      <w:r>
        <w:rPr>
          <w:rFonts w:ascii="Times New Roman" w:hAnsi="Times New Roman" w:eastAsia="楷体_GB2312"/>
          <w:b/>
          <w:sz w:val="24"/>
        </w:rPr>
        <w:t>1、</w:t>
      </w:r>
      <w:bookmarkEnd w:id="12"/>
      <w:r>
        <w:rPr>
          <w:rFonts w:ascii="Times New Roman" w:hAnsi="Times New Roman" w:eastAsia="楷体_GB2312"/>
          <w:b/>
          <w:sz w:val="24"/>
        </w:rPr>
        <w:t>资产池与资产</w:t>
      </w:r>
    </w:p>
    <w:p w14:paraId="26528C92">
      <w:pPr>
        <w:tabs>
          <w:tab w:val="left" w:pos="425"/>
          <w:tab w:val="left" w:pos="4973"/>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本部分定义包括正常类个人消费贷款、正常类信用卡债权资产类型，如作为发起机构注册文本使用，可选择注册额度内拟使用的资产类型，如为具体项目可根据每一期项目对应的基础资产类别予以选择适用，并删减不适用的定义。】</w:t>
      </w:r>
    </w:p>
    <w:p w14:paraId="47E7827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资产清单：</w:t>
      </w:r>
      <w:r>
        <w:rPr>
          <w:rFonts w:ascii="Times New Roman" w:hAnsi="Times New Roman" w:eastAsia="楷体_GB2312"/>
          <w:bCs/>
          <w:sz w:val="24"/>
        </w:rPr>
        <w:t>就“委托人”信托予“受托人”的“资产”而言，系指由“委托人”准备的、截至“初始起算日”有关每笔初始“资产”信息的一览表（该一览表为计算机文档形式，其格式及至少载明的信息见“《信托合同》”</w:t>
      </w:r>
      <w:r>
        <w:rPr>
          <w:rFonts w:hint="eastAsia" w:ascii="Times New Roman" w:hAnsi="Times New Roman" w:eastAsia="楷体_GB2312"/>
          <w:bCs/>
          <w:sz w:val="24"/>
        </w:rPr>
        <w:t>【</w:t>
      </w:r>
      <w:r>
        <w:rPr>
          <w:rFonts w:ascii="Times New Roman" w:hAnsi="Times New Roman" w:eastAsia="楷体_GB2312"/>
          <w:bCs/>
          <w:sz w:val="24"/>
        </w:rPr>
        <w:t>附件一</w:t>
      </w:r>
      <w:r>
        <w:rPr>
          <w:rFonts w:hint="eastAsia" w:ascii="Times New Roman" w:hAnsi="Times New Roman" w:eastAsia="楷体_GB2312"/>
          <w:bCs/>
          <w:sz w:val="24"/>
        </w:rPr>
        <w:t>】</w:t>
      </w:r>
      <w:r>
        <w:rPr>
          <w:rFonts w:ascii="Times New Roman" w:hAnsi="Times New Roman" w:eastAsia="楷体_GB2312"/>
          <w:bCs/>
          <w:sz w:val="24"/>
        </w:rPr>
        <w:t>）。就“委托人”出售给“受托人”的新增“资产”而言，系指由“委托人”准备的、截至“持续购买基准日”的、有关每笔新增“资产”相关信息的一览表（该等信息的形式和内容应为“受托人”所接受）；“资产清单”至少应载明的具体信息见“《资产持续购买合同》”附件</w:t>
      </w:r>
      <w:r>
        <w:rPr>
          <w:rFonts w:hint="eastAsia" w:ascii="Times New Roman" w:hAnsi="Times New Roman" w:eastAsia="楷体_GB2312"/>
          <w:bCs/>
          <w:sz w:val="24"/>
        </w:rPr>
        <w:t>【】</w:t>
      </w:r>
      <w:r>
        <w:rPr>
          <w:rFonts w:ascii="Times New Roman" w:hAnsi="Times New Roman" w:eastAsia="楷体_GB2312"/>
          <w:bCs/>
          <w:sz w:val="24"/>
        </w:rPr>
        <w:t>。</w:t>
      </w:r>
    </w:p>
    <w:p w14:paraId="17862A9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资产：</w:t>
      </w:r>
      <w:r>
        <w:rPr>
          <w:rFonts w:ascii="Times New Roman" w:hAnsi="Times New Roman" w:eastAsia="楷体_GB2312"/>
          <w:bCs/>
          <w:sz w:val="24"/>
        </w:rPr>
        <w:t>系指由“委托人”为设立“信托”而信托予“受托人”的每一笔“贷款”及其“附属权益”（如有），或根据“《资产持续购买合同》”被出售给“受托人”的每一笔“贷款”及其“附属权益”（如有）。设立“信托”的每一笔“贷款”及其“附属权益”（如有）为初始“资产”，根据“《资产持续购买合同》”被出售给“受托人”的每一笔“贷款”及其“附属权益”（如有）为新增“资产”。</w:t>
      </w:r>
    </w:p>
    <w:p w14:paraId="111C9E4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资产池：</w:t>
      </w:r>
      <w:r>
        <w:rPr>
          <w:rFonts w:ascii="Times New Roman" w:hAnsi="Times New Roman" w:eastAsia="楷体_GB2312"/>
          <w:bCs/>
          <w:sz w:val="24"/>
        </w:rPr>
        <w:t>系指任一时点“资产”的总和。</w:t>
      </w:r>
    </w:p>
    <w:p w14:paraId="11F0BED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贷款：</w:t>
      </w:r>
      <w:r>
        <w:rPr>
          <w:rFonts w:ascii="Times New Roman" w:hAnsi="Times New Roman" w:eastAsia="楷体_GB2312"/>
          <w:bCs/>
          <w:sz w:val="24"/>
        </w:rPr>
        <w:t>系指“贷款合同”项下由“【发起机构简称】”发放的“个人消费贷款”和/或“信用卡债权”。为免疑义，相关“借款人”在同一“贷款合同”项下入池的全部应付款项视为一笔“贷款”。每一笔“贷款”的具体信息见“资产清单”。</w:t>
      </w:r>
    </w:p>
    <w:p w14:paraId="5BD62F05">
      <w:pPr>
        <w:tabs>
          <w:tab w:val="left" w:pos="425"/>
          <w:tab w:val="left" w:pos="851"/>
          <w:tab w:val="left" w:pos="4973"/>
        </w:tabs>
        <w:spacing w:before="156" w:beforeLines="50" w:after="156" w:afterLines="50" w:line="360" w:lineRule="auto"/>
        <w:ind w:left="840" w:leftChars="400"/>
        <w:rPr>
          <w:rFonts w:ascii="Times New Roman" w:hAnsi="Times New Roman" w:eastAsia="楷体_GB2312"/>
          <w:b/>
          <w:i/>
          <w:iCs/>
          <w:color w:val="FF0000"/>
          <w:sz w:val="24"/>
        </w:rPr>
      </w:pPr>
      <w:r>
        <w:rPr>
          <w:rFonts w:ascii="Times New Roman" w:hAnsi="Times New Roman" w:eastAsia="楷体_GB2312"/>
          <w:b/>
          <w:i/>
          <w:iCs/>
          <w:color w:val="FF0000"/>
          <w:sz w:val="24"/>
        </w:rPr>
        <w:t>【注：标准</w:t>
      </w:r>
      <w:r>
        <w:rPr>
          <w:rFonts w:hint="eastAsia" w:ascii="Times New Roman" w:hAnsi="Times New Roman" w:eastAsia="楷体_GB2312"/>
          <w:b/>
          <w:i/>
          <w:iCs/>
          <w:color w:val="FF0000"/>
          <w:sz w:val="24"/>
          <w:lang w:val="en-US" w:eastAsia="zh-CN"/>
        </w:rPr>
        <w:t>合同</w:t>
      </w:r>
      <w:r>
        <w:rPr>
          <w:rFonts w:ascii="Times New Roman" w:hAnsi="Times New Roman" w:eastAsia="楷体_GB2312"/>
          <w:b/>
          <w:i/>
          <w:iCs/>
          <w:color w:val="FF0000"/>
          <w:sz w:val="24"/>
        </w:rPr>
        <w:t>使用“贷款”的概念统称正常类个人消费贷款、正常类信用卡债权资产类型，此处可根据具体项目的基础资产类型调整，也可直接选择适用相应类别的基础资产定义。为便于条款表述的便利，在《信托合同》正文中，将统一使用“贷款”定义，而不再单独使用具体类别的基础资产类型定义。】</w:t>
      </w:r>
    </w:p>
    <w:p w14:paraId="42D6C8C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个人消费贷款：</w:t>
      </w:r>
      <w:r>
        <w:rPr>
          <w:rFonts w:ascii="Times New Roman" w:hAnsi="Times New Roman" w:eastAsia="楷体_GB2312"/>
          <w:bCs/>
          <w:sz w:val="24"/>
        </w:rPr>
        <w:t>系指由“【发起机构简称】”根据“贷款合同”向“借款人”发放的附有“附属权益”（如有）的用于消费的个人贷款而享有的要求“借款人”偿付本金、利息、违约金、罚息及其他应付款项的债权，且该等债权根据“《信托合同》”被信托予“受托人”。每一笔“个人消费贷款”的具体信息见“资产清单”。</w:t>
      </w:r>
      <w:bookmarkStart w:id="13" w:name="_Hlk47806574"/>
    </w:p>
    <w:bookmarkEnd w:id="13"/>
    <w:p w14:paraId="44E06A3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信用卡债权：</w:t>
      </w:r>
      <w:r>
        <w:rPr>
          <w:rFonts w:ascii="Times New Roman" w:hAnsi="Times New Roman" w:eastAsia="楷体_GB2312"/>
          <w:bCs/>
          <w:sz w:val="24"/>
        </w:rPr>
        <w:t>系指“【发起机构简称】”在“信用卡账户”项下根据“信用卡文件”向“借款人”提供“分期账号”项下相关消费分期的金融服务而享有的要求“借款人”偿付“分期账号”项下本金、利息、手续费（如有）等其他应付款项的债权，且该等债权根据“《信托合同》”被信托予“受托人”。每一笔“信用卡债权”的具体信息见“资产清单”。</w:t>
      </w:r>
    </w:p>
    <w:p w14:paraId="705741C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信用卡账户：</w:t>
      </w:r>
      <w:r>
        <w:rPr>
          <w:rFonts w:ascii="Times New Roman" w:hAnsi="Times New Roman" w:eastAsia="楷体_GB2312"/>
          <w:bCs/>
          <w:sz w:val="24"/>
        </w:rPr>
        <w:t>系指“资产清单”所列的每笔“信用卡债权”所对应的、“借款人”在“【发起机构简称】”开立及持有的信用卡账户。</w:t>
      </w:r>
    </w:p>
    <w:p w14:paraId="5E8356EB">
      <w:pPr>
        <w:tabs>
          <w:tab w:val="left" w:pos="425"/>
          <w:tab w:val="left" w:pos="851"/>
          <w:tab w:val="left" w:pos="4973"/>
        </w:tabs>
        <w:spacing w:before="156" w:beforeLines="50" w:after="156" w:afterLines="50" w:line="360" w:lineRule="auto"/>
        <w:ind w:left="840" w:leftChars="400"/>
        <w:rPr>
          <w:rFonts w:ascii="Times New Roman" w:hAnsi="Times New Roman" w:eastAsia="楷体_GB2312"/>
          <w:b/>
          <w:i/>
          <w:iCs/>
          <w:color w:val="FF0000"/>
          <w:sz w:val="24"/>
        </w:rPr>
      </w:pPr>
      <w:r>
        <w:rPr>
          <w:rFonts w:ascii="Times New Roman" w:hAnsi="Times New Roman" w:eastAsia="楷体_GB2312"/>
          <w:b/>
          <w:i/>
          <w:iCs/>
          <w:color w:val="FF0000"/>
          <w:sz w:val="24"/>
        </w:rPr>
        <w:t>【注：如为信用卡全账户入池项目，则需要结合项目实际情况调整、补充相关定义。】</w:t>
      </w:r>
    </w:p>
    <w:p w14:paraId="6FAA574D">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分期账号：</w:t>
      </w:r>
      <w:r>
        <w:rPr>
          <w:rFonts w:ascii="Times New Roman" w:hAnsi="Times New Roman" w:eastAsia="楷体_GB2312"/>
          <w:bCs/>
          <w:sz w:val="24"/>
        </w:rPr>
        <w:t>系指在“信用卡账户”项下，“【发起机构简称】”根据“信用卡文件”向“借款人”提供相关消费分期金融服务时自动生成的用于识别该笔消费分期的系统账号。“信用卡债权”所对应的相关“分期账号”信息具体见“资产清单”。</w:t>
      </w:r>
    </w:p>
    <w:p w14:paraId="74E40E52">
      <w:pPr>
        <w:tabs>
          <w:tab w:val="left" w:pos="425"/>
          <w:tab w:val="left" w:pos="851"/>
          <w:tab w:val="left" w:pos="4973"/>
        </w:tabs>
        <w:spacing w:before="156" w:beforeLines="50" w:after="156" w:afterLines="50" w:line="360" w:lineRule="auto"/>
        <w:ind w:left="840" w:leftChars="400"/>
        <w:rPr>
          <w:rFonts w:ascii="Times New Roman" w:hAnsi="Times New Roman" w:eastAsia="楷体_GB2312"/>
          <w:b/>
          <w:i/>
          <w:iCs/>
          <w:color w:val="FF0000"/>
          <w:sz w:val="24"/>
        </w:rPr>
      </w:pPr>
      <w:r>
        <w:rPr>
          <w:rFonts w:ascii="Times New Roman" w:hAnsi="Times New Roman" w:eastAsia="楷体_GB2312"/>
          <w:b/>
          <w:i/>
          <w:iCs/>
          <w:color w:val="FF0000"/>
          <w:sz w:val="24"/>
        </w:rPr>
        <w:t>【注：入池资产的条款表述可结合项目具体资产特征予以调整。】</w:t>
      </w:r>
    </w:p>
    <w:p w14:paraId="6C06489D">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附属权益：</w:t>
      </w:r>
      <w:r>
        <w:rPr>
          <w:rFonts w:ascii="Times New Roman" w:hAnsi="Times New Roman" w:eastAsia="楷体_GB2312"/>
          <w:bCs/>
          <w:sz w:val="24"/>
        </w:rPr>
        <w:t>就每笔“贷款”而言，系指与“贷款”有关的、为“发起机构”的利益而设定的</w:t>
      </w:r>
      <w:r>
        <w:rPr>
          <w:rFonts w:ascii="Times New Roman" w:hAnsi="Times New Roman" w:eastAsia="楷体_GB2312"/>
          <w:color w:val="000000" w:themeColor="text1"/>
          <w:sz w:val="24"/>
          <w14:textFill>
            <w14:solidFill>
              <w14:schemeClr w14:val="tx1"/>
            </w14:solidFill>
          </w14:textFill>
        </w:rPr>
        <w:t>“附属担保权益”、与</w:t>
      </w:r>
      <w:r>
        <w:rPr>
          <w:rFonts w:ascii="Times New Roman" w:hAnsi="Times New Roman" w:eastAsia="楷体_GB2312"/>
          <w:bCs/>
          <w:sz w:val="24"/>
        </w:rPr>
        <w:t>“贷款”</w:t>
      </w:r>
      <w:r>
        <w:rPr>
          <w:rFonts w:ascii="Times New Roman" w:hAnsi="Times New Roman" w:eastAsia="楷体_GB2312"/>
          <w:color w:val="000000" w:themeColor="text1"/>
          <w:sz w:val="24"/>
          <w14:textFill>
            <w14:solidFill>
              <w14:schemeClr w14:val="tx1"/>
            </w14:solidFill>
          </w14:textFill>
        </w:rPr>
        <w:t>相关的保险单和由此产生的保险权益</w:t>
      </w:r>
      <w:r>
        <w:rPr>
          <w:rFonts w:ascii="Times New Roman" w:hAnsi="Times New Roman" w:eastAsia="楷体_GB2312"/>
          <w:bCs/>
          <w:sz w:val="24"/>
        </w:rPr>
        <w:t>以及</w:t>
      </w:r>
      <w:r>
        <w:rPr>
          <w:rFonts w:ascii="Times New Roman" w:hAnsi="Times New Roman" w:eastAsia="楷体_GB2312"/>
          <w:color w:val="000000" w:themeColor="text1"/>
          <w:sz w:val="24"/>
          <w14:textFill>
            <w14:solidFill>
              <w14:schemeClr w14:val="tx1"/>
            </w14:solidFill>
          </w14:textFill>
        </w:rPr>
        <w:t>“其他相关权益”</w:t>
      </w:r>
      <w:r>
        <w:rPr>
          <w:rFonts w:ascii="Times New Roman" w:hAnsi="Times New Roman" w:eastAsia="楷体_GB2312"/>
          <w:sz w:val="24"/>
        </w:rPr>
        <w:t>（如有）等</w:t>
      </w:r>
      <w:r>
        <w:rPr>
          <w:rFonts w:ascii="Times New Roman" w:hAnsi="Times New Roman" w:eastAsia="楷体_GB2312"/>
          <w:bCs/>
          <w:sz w:val="24"/>
        </w:rPr>
        <w:t>。</w:t>
      </w:r>
    </w:p>
    <w:p w14:paraId="481C8D5F">
      <w:pPr>
        <w:tabs>
          <w:tab w:val="left" w:pos="425"/>
          <w:tab w:val="left" w:pos="851"/>
          <w:tab w:val="left" w:pos="4973"/>
        </w:tabs>
        <w:spacing w:before="156" w:beforeLines="50" w:after="156" w:afterLines="50" w:line="360" w:lineRule="auto"/>
        <w:ind w:left="840" w:leftChars="400"/>
        <w:rPr>
          <w:rFonts w:ascii="Times New Roman" w:hAnsi="Times New Roman" w:eastAsia="楷体_GB2312"/>
          <w:b/>
          <w:i/>
          <w:iCs/>
          <w:color w:val="FF0000"/>
          <w:sz w:val="24"/>
        </w:rPr>
      </w:pPr>
      <w:r>
        <w:rPr>
          <w:rFonts w:ascii="Times New Roman" w:hAnsi="Times New Roman" w:eastAsia="楷体_GB2312"/>
          <w:b/>
          <w:i/>
          <w:iCs/>
          <w:color w:val="FF0000"/>
          <w:sz w:val="24"/>
        </w:rPr>
        <w:t>【注：入池贷款的附属权益类型，可根据具体项目实际情况调整和确定。】</w:t>
      </w:r>
    </w:p>
    <w:p w14:paraId="0A68435E">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bookmarkStart w:id="14" w:name="_Hlk221114302"/>
      <w:r>
        <w:rPr>
          <w:rFonts w:ascii="Times New Roman" w:hAnsi="Times New Roman" w:eastAsia="楷体_GB2312"/>
          <w:b/>
          <w:color w:val="000000" w:themeColor="text1"/>
          <w:sz w:val="24"/>
          <w14:textFill>
            <w14:solidFill>
              <w14:schemeClr w14:val="tx1"/>
            </w14:solidFill>
          </w14:textFill>
        </w:rPr>
        <w:t>附属担保权益</w:t>
      </w:r>
      <w:r>
        <w:rPr>
          <w:rFonts w:ascii="Times New Roman" w:hAnsi="Times New Roman" w:eastAsia="楷体_GB2312"/>
          <w:b/>
          <w:bCs/>
          <w:color w:val="000000" w:themeColor="text1"/>
          <w:sz w:val="24"/>
          <w14:textFill>
            <w14:solidFill>
              <w14:schemeClr w14:val="tx1"/>
            </w14:solidFill>
          </w14:textFill>
        </w:rPr>
        <w:t>：</w:t>
      </w:r>
      <w:r>
        <w:rPr>
          <w:rFonts w:ascii="Times New Roman" w:hAnsi="Times New Roman" w:eastAsia="楷体_GB2312"/>
          <w:bCs/>
          <w:sz w:val="24"/>
        </w:rPr>
        <w:t>就每笔“贷款”而言</w:t>
      </w:r>
      <w:r>
        <w:rPr>
          <w:rFonts w:ascii="Times New Roman" w:hAnsi="Times New Roman" w:eastAsia="楷体_GB2312"/>
          <w:color w:val="000000" w:themeColor="text1"/>
          <w:sz w:val="24"/>
          <w14:textFill>
            <w14:solidFill>
              <w14:schemeClr w14:val="tx1"/>
            </w14:solidFill>
          </w14:textFill>
        </w:rPr>
        <w:t>，系指与“贷款”有关的、</w:t>
      </w:r>
      <w:r>
        <w:rPr>
          <w:rFonts w:ascii="Times New Roman" w:hAnsi="Times New Roman" w:eastAsia="楷体_GB2312"/>
          <w:bCs/>
          <w:sz w:val="24"/>
        </w:rPr>
        <w:t>为“发起机构”的利益而设定</w:t>
      </w:r>
      <w:r>
        <w:rPr>
          <w:rFonts w:ascii="Times New Roman" w:hAnsi="Times New Roman" w:eastAsia="楷体_GB2312"/>
          <w:color w:val="000000" w:themeColor="text1"/>
          <w:sz w:val="24"/>
          <w14:textFill>
            <w14:solidFill>
              <w14:schemeClr w14:val="tx1"/>
            </w14:solidFill>
          </w14:textFill>
        </w:rPr>
        <w:t>的担保，包括但不限于“抵押权”、“质权”、</w:t>
      </w:r>
      <w:r>
        <w:rPr>
          <w:rFonts w:ascii="Times New Roman" w:hAnsi="Times New Roman" w:eastAsia="楷体_GB2312"/>
          <w:bCs/>
          <w:sz w:val="24"/>
        </w:rPr>
        <w:t>第三方保证等</w:t>
      </w:r>
      <w:r>
        <w:rPr>
          <w:rFonts w:ascii="Times New Roman" w:hAnsi="Times New Roman" w:eastAsia="楷体_GB2312"/>
          <w:color w:val="000000" w:themeColor="text1"/>
          <w:sz w:val="24"/>
          <w14:textFill>
            <w14:solidFill>
              <w14:schemeClr w14:val="tx1"/>
            </w14:solidFill>
          </w14:textFill>
        </w:rPr>
        <w:t>担保权益。</w:t>
      </w:r>
      <w:bookmarkEnd w:id="14"/>
    </w:p>
    <w:p w14:paraId="5CED160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其他相关权益：</w:t>
      </w:r>
      <w:r>
        <w:rPr>
          <w:rFonts w:ascii="Times New Roman" w:hAnsi="Times New Roman" w:eastAsia="楷体_GB2312"/>
          <w:bCs/>
          <w:sz w:val="24"/>
        </w:rPr>
        <w:t>系指“初始起算日”前，“委托人”因管理、处置需要可能已与“资产清单”中部分“义务人”达成包括但不限于重组协议、和解协议、以物抵贷协议，或接受法院/仲裁机构裁定以物抵贷，而这些协议并未履行完毕或抵贷资产未完成过户，或者因解除“贷款合同”/“信用卡文件”而取得法定的或者法院/仲裁机构裁定的债权，因此，“受托人”受让的对该等“义务人”的债权，已从原始的“贷款合同”/“信用卡文件”项下的债权，全部或部分转化为前述协议项下或法院/仲裁机构生效裁定所对应的权利。</w:t>
      </w:r>
    </w:p>
    <w:p w14:paraId="0E741E0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抵押权：</w:t>
      </w:r>
      <w:r>
        <w:rPr>
          <w:rFonts w:ascii="Times New Roman" w:hAnsi="Times New Roman" w:eastAsia="楷体_GB2312"/>
          <w:bCs/>
          <w:sz w:val="24"/>
        </w:rPr>
        <w:t>系指为担保“贷款”的偿还而设定的以“抵押资产”为担保的抵押权。</w:t>
      </w:r>
    </w:p>
    <w:p w14:paraId="17B0F7EB">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质权：</w:t>
      </w:r>
      <w:r>
        <w:rPr>
          <w:rFonts w:ascii="Times New Roman" w:hAnsi="Times New Roman" w:eastAsia="楷体_GB2312"/>
          <w:bCs/>
          <w:sz w:val="24"/>
        </w:rPr>
        <w:t>系指为担保“贷款”的偿还而设定的以“质物”为担保的质权。</w:t>
      </w:r>
    </w:p>
    <w:p w14:paraId="7B23B22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抵债资产：</w:t>
      </w:r>
      <w:r>
        <w:rPr>
          <w:rFonts w:ascii="Times New Roman" w:hAnsi="Times New Roman" w:eastAsia="楷体_GB2312"/>
          <w:bCs/>
          <w:sz w:val="24"/>
        </w:rPr>
        <w:t>系指“借款人”或第三人提供或转让给“【发起机构简称】”或“受托人”用于抵偿全部或部分“贷款”的资产。</w:t>
      </w:r>
    </w:p>
    <w:p w14:paraId="2375B24C">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i/>
          <w:iCs/>
          <w:color w:val="FF0000"/>
          <w:sz w:val="24"/>
        </w:rPr>
        <w:t>【适用于“个人消费贷款”】</w:t>
      </w:r>
      <w:r>
        <w:rPr>
          <w:rFonts w:ascii="Times New Roman" w:hAnsi="Times New Roman" w:eastAsia="楷体_GB2312"/>
          <w:b/>
          <w:sz w:val="24"/>
        </w:rPr>
        <w:t>贷款合同：</w:t>
      </w:r>
      <w:r>
        <w:rPr>
          <w:rFonts w:ascii="Times New Roman" w:hAnsi="Times New Roman" w:eastAsia="楷体_GB2312"/>
          <w:bCs/>
          <w:sz w:val="24"/>
        </w:rPr>
        <w:t>系指由“【发起机构简称】”与“借款人”签订的、关于“【发起机构简称】”向“借款人”发放“贷款”形成债权的相关文件及其所有变更或补充，包括但不限于【具体的贷款合同名称】。</w:t>
      </w:r>
    </w:p>
    <w:p w14:paraId="7545CF78">
      <w:pPr>
        <w:tabs>
          <w:tab w:val="left" w:pos="851"/>
        </w:tabs>
        <w:spacing w:before="156" w:beforeLines="50" w:after="156" w:afterLines="50" w:line="360" w:lineRule="auto"/>
        <w:ind w:left="851"/>
        <w:rPr>
          <w:rFonts w:ascii="Times New Roman" w:hAnsi="Times New Roman" w:eastAsia="楷体_GB2312"/>
          <w:bCs/>
          <w:sz w:val="24"/>
        </w:rPr>
      </w:pPr>
      <w:r>
        <w:rPr>
          <w:rFonts w:ascii="Times New Roman" w:hAnsi="Times New Roman" w:eastAsia="楷体_GB2312"/>
          <w:b/>
          <w:i/>
          <w:iCs/>
          <w:color w:val="FF0000"/>
          <w:sz w:val="24"/>
        </w:rPr>
        <w:t>【适用于“信用卡债权”】</w:t>
      </w:r>
      <w:r>
        <w:rPr>
          <w:rFonts w:ascii="Times New Roman" w:hAnsi="Times New Roman" w:eastAsia="楷体_GB2312"/>
          <w:b/>
          <w:sz w:val="24"/>
        </w:rPr>
        <w:t>信用卡文件：</w:t>
      </w:r>
      <w:r>
        <w:rPr>
          <w:rFonts w:ascii="Times New Roman" w:hAnsi="Times New Roman" w:eastAsia="楷体_GB2312"/>
          <w:bCs/>
          <w:sz w:val="24"/>
        </w:rPr>
        <w:t>系指作为“信用卡债权”产生依据的具有合同效力的文件，包括但不限于“【发起机构简称】”的信用卡章程、信用卡（个人卡）领用合约、“借款人”申请信用卡的相关文件、“【发起机构简称】”核发信用卡的相关文件或记录、“【发起机构简称】”与“借款人”达成的个性化分期还款协议（如有）；如“信用卡债权”中包含分期债权，“信用卡文件”还应包括“【发起机构简称】”信用卡账单分期业务/产品条款及细则/分期业务合约等相关分期业务规则或条款、“借款人”申请分期和“【发起机构简称】”核准分期的相关文件或记录。</w:t>
      </w:r>
    </w:p>
    <w:p w14:paraId="123521D6">
      <w:pPr>
        <w:tabs>
          <w:tab w:val="left" w:pos="851"/>
        </w:tabs>
        <w:spacing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【注：信用卡文件的范围可以根据项目实际情况进行调整。】</w:t>
      </w:r>
    </w:p>
    <w:p w14:paraId="1B5FD04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bookmarkStart w:id="15" w:name="_Ref47648234"/>
      <w:r>
        <w:rPr>
          <w:rFonts w:ascii="Times New Roman" w:hAnsi="Times New Roman" w:eastAsia="楷体_GB2312"/>
          <w:b/>
          <w:sz w:val="24"/>
        </w:rPr>
        <w:t>抵押合同：</w:t>
      </w:r>
      <w:r>
        <w:rPr>
          <w:rFonts w:ascii="Times New Roman" w:hAnsi="Times New Roman" w:eastAsia="楷体_GB2312"/>
          <w:bCs/>
          <w:sz w:val="24"/>
        </w:rPr>
        <w:t>系指由“【发起机构简称】”与“抵押人”签订的、关于“抵押人”就“资产”向“【发起机构简称】”提供抵押担保的各类相关电子或纸质文件（包括但不限于双方签订的抵押合同、最高额抵押合同或“贷款合同”中的抵押条款）及其所有变更或补充。</w:t>
      </w:r>
      <w:bookmarkEnd w:id="15"/>
    </w:p>
    <w:p w14:paraId="45C717B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bookmarkStart w:id="16" w:name="_Ref47628894"/>
      <w:r>
        <w:rPr>
          <w:rFonts w:ascii="Times New Roman" w:hAnsi="Times New Roman" w:eastAsia="楷体_GB2312"/>
          <w:b/>
          <w:sz w:val="24"/>
        </w:rPr>
        <w:t>质押合同：</w:t>
      </w:r>
      <w:r>
        <w:rPr>
          <w:rFonts w:ascii="Times New Roman" w:hAnsi="Times New Roman" w:eastAsia="楷体_GB2312"/>
          <w:bCs/>
          <w:sz w:val="24"/>
        </w:rPr>
        <w:t>系指由“【发起机构简称】”与“出质人”签订的、关于“出质人”就“资产”向“【发起机构简称】”提供质押担保的各类相关电子或纸质文件（包括但不限于双方签订的质押合同、最高额质押合同、“贷款合同”中的质押条款）及其所有变更或补充。</w:t>
      </w:r>
      <w:bookmarkEnd w:id="16"/>
    </w:p>
    <w:p w14:paraId="01E5264B">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保证合同：</w:t>
      </w:r>
      <w:r>
        <w:rPr>
          <w:rFonts w:ascii="Times New Roman" w:hAnsi="Times New Roman" w:eastAsia="楷体_GB2312"/>
          <w:bCs/>
          <w:sz w:val="24"/>
        </w:rPr>
        <w:t>系指由“【发起机构简称】”与“保证人”签订的、关于“保证人”就“资产”向“【发起机构简称】”提供保证担保的各类相关电子或纸质文件（包括但不限于双方签订的保证合同、最高额保证合同、“贷款合同”中的保证条款、“保证人”出具的担保函）及其所有变更或补充。</w:t>
      </w:r>
    </w:p>
    <w:p w14:paraId="4EFAACD0">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bookmarkStart w:id="17" w:name="_Ref47622324"/>
      <w:bookmarkStart w:id="18" w:name="_Ref47648171"/>
      <w:r>
        <w:rPr>
          <w:rFonts w:ascii="Times New Roman" w:hAnsi="Times New Roman" w:eastAsia="楷体_GB2312"/>
          <w:b/>
          <w:sz w:val="24"/>
        </w:rPr>
        <w:t>担保合同：</w:t>
      </w:r>
      <w:r>
        <w:rPr>
          <w:rFonts w:ascii="Times New Roman" w:hAnsi="Times New Roman" w:eastAsia="楷体_GB2312"/>
          <w:bCs/>
          <w:sz w:val="24"/>
        </w:rPr>
        <w:t>系指“抵押合同”、“质押合同”、“保证合同”及其他为“资产”实现而设定的任何具有债权保障作用的协议统称。</w:t>
      </w:r>
      <w:bookmarkEnd w:id="17"/>
      <w:bookmarkEnd w:id="18"/>
    </w:p>
    <w:p w14:paraId="01C48FCB">
      <w:pPr>
        <w:tabs>
          <w:tab w:val="left" w:pos="851"/>
        </w:tabs>
        <w:spacing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【注：可根据项目资产附属担保权益实际情况确定该项定义的范围。】</w:t>
      </w:r>
    </w:p>
    <w:p w14:paraId="6CCD1C4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账户记录：</w:t>
      </w:r>
      <w:r>
        <w:rPr>
          <w:rFonts w:ascii="Times New Roman" w:hAnsi="Times New Roman" w:eastAsia="楷体_GB2312"/>
          <w:bCs/>
          <w:sz w:val="24"/>
        </w:rPr>
        <w:t>就一项“资产”而言，系指在“信托生效日”或在“持续购买日”前由“委托人”或其代理人，或在“信托生效日”或在“持续购买日”后由“贷款服务机构”或其代理人，持有或维护的、为支持或担保该等“资产”偿付的或与该等“资产”有关的、以实物形式或电子形式存在的所有文档、表单、凭证和其他任何性质的协议，包括但不限于【“贷款合同”</w:t>
      </w:r>
      <w:r>
        <w:rPr>
          <w:rFonts w:hint="eastAsia" w:ascii="Times New Roman" w:hAnsi="Times New Roman" w:eastAsia="楷体_GB2312"/>
          <w:bCs/>
          <w:sz w:val="24"/>
        </w:rPr>
        <w:t>/</w:t>
      </w:r>
      <w:r>
        <w:rPr>
          <w:rFonts w:ascii="Times New Roman" w:hAnsi="Times New Roman" w:eastAsia="楷体_GB2312"/>
          <w:bCs/>
          <w:sz w:val="24"/>
        </w:rPr>
        <w:t>“信用卡文件”、借款支用记录、和解协议、债务重组协议、以物抵贷协议、</w:t>
      </w:r>
      <w:r>
        <w:rPr>
          <w:rFonts w:ascii="Times New Roman" w:hAnsi="Times New Roman" w:eastAsia="楷体_GB2312"/>
          <w:bCs/>
          <w:color w:val="000000" w:themeColor="text1"/>
          <w:sz w:val="24"/>
          <w14:textFill>
            <w14:solidFill>
              <w14:schemeClr w14:val="tx1"/>
            </w14:solidFill>
          </w14:textFill>
        </w:rPr>
        <w:t>“</w:t>
      </w:r>
      <w:r>
        <w:rPr>
          <w:rFonts w:ascii="Times New Roman" w:hAnsi="Times New Roman" w:eastAsia="楷体_GB2312"/>
          <w:color w:val="000000" w:themeColor="text1"/>
          <w:sz w:val="24"/>
          <w14:textFill>
            <w14:solidFill>
              <w14:schemeClr w14:val="tx1"/>
            </w14:solidFill>
          </w14:textFill>
        </w:rPr>
        <w:t>抵押权</w:t>
      </w:r>
      <w:r>
        <w:rPr>
          <w:rFonts w:ascii="Times New Roman" w:hAnsi="Times New Roman" w:eastAsia="楷体_GB2312"/>
          <w:bCs/>
          <w:color w:val="000000" w:themeColor="text1"/>
          <w:sz w:val="24"/>
          <w14:textFill>
            <w14:solidFill>
              <w14:schemeClr w14:val="tx1"/>
            </w14:solidFill>
          </w14:textFill>
        </w:rPr>
        <w:t>”</w:t>
      </w:r>
      <w:r>
        <w:rPr>
          <w:rFonts w:ascii="Times New Roman" w:hAnsi="Times New Roman" w:eastAsia="楷体_GB2312"/>
          <w:color w:val="000000" w:themeColor="text1"/>
          <w:sz w:val="24"/>
          <w14:textFill>
            <w14:solidFill>
              <w14:schemeClr w14:val="tx1"/>
            </w14:solidFill>
          </w14:textFill>
        </w:rPr>
        <w:t>/</w:t>
      </w:r>
      <w:r>
        <w:rPr>
          <w:rFonts w:ascii="Times New Roman" w:hAnsi="Times New Roman" w:eastAsia="楷体_GB2312"/>
          <w:bCs/>
          <w:color w:val="000000" w:themeColor="text1"/>
          <w:sz w:val="24"/>
          <w14:textFill>
            <w14:solidFill>
              <w14:schemeClr w14:val="tx1"/>
            </w14:solidFill>
          </w14:textFill>
        </w:rPr>
        <w:t>“</w:t>
      </w:r>
      <w:r>
        <w:rPr>
          <w:rFonts w:ascii="Times New Roman" w:hAnsi="Times New Roman" w:eastAsia="楷体_GB2312"/>
          <w:color w:val="000000" w:themeColor="text1"/>
          <w:sz w:val="24"/>
          <w14:textFill>
            <w14:solidFill>
              <w14:schemeClr w14:val="tx1"/>
            </w14:solidFill>
          </w14:textFill>
        </w:rPr>
        <w:t>质权</w:t>
      </w:r>
      <w:r>
        <w:rPr>
          <w:rFonts w:ascii="Times New Roman" w:hAnsi="Times New Roman" w:eastAsia="楷体_GB2312"/>
          <w:bCs/>
          <w:color w:val="000000" w:themeColor="text1"/>
          <w:sz w:val="24"/>
          <w14:textFill>
            <w14:solidFill>
              <w14:schemeClr w14:val="tx1"/>
            </w14:solidFill>
          </w14:textFill>
        </w:rPr>
        <w:t>”</w:t>
      </w:r>
      <w:r>
        <w:rPr>
          <w:rFonts w:ascii="Times New Roman" w:hAnsi="Times New Roman" w:eastAsia="楷体_GB2312"/>
          <w:color w:val="000000" w:themeColor="text1"/>
          <w:sz w:val="24"/>
          <w14:textFill>
            <w14:solidFill>
              <w14:schemeClr w14:val="tx1"/>
            </w14:solidFill>
          </w14:textFill>
        </w:rPr>
        <w:t>凭证（如有）、保险单和证明保险的文件（如有）、</w:t>
      </w:r>
      <w:r>
        <w:rPr>
          <w:rFonts w:ascii="Times New Roman" w:hAnsi="Times New Roman" w:eastAsia="楷体_GB2312"/>
          <w:bCs/>
          <w:sz w:val="24"/>
        </w:rPr>
        <w:t>账单、还款记录和凭证、债权催收证明或记录、“委托人”或其代理人与“借款人”达成的债权确认或重组协议（如有）、“委托人”与“催收机构”签署的相关协议、诉讼/仲裁/执行/刑事侦查等法律程序的相关资料、“贷款服务机构”为提供“服务”而支出的费用的记录和凭证】等。</w:t>
      </w:r>
    </w:p>
    <w:p w14:paraId="13C2150E">
      <w:pPr>
        <w:tabs>
          <w:tab w:val="left" w:pos="851"/>
        </w:tabs>
        <w:spacing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【注：根据项目的资产情况确认账户记录的种类。】</w:t>
      </w:r>
    </w:p>
    <w:p w14:paraId="17AE750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债务人/借款人：</w:t>
      </w:r>
      <w:r>
        <w:rPr>
          <w:rFonts w:ascii="Times New Roman" w:hAnsi="Times New Roman" w:eastAsia="楷体_GB2312"/>
          <w:bCs/>
          <w:sz w:val="24"/>
        </w:rPr>
        <w:t>就各笔“贷款”而言，系指根据各“贷款合同”</w:t>
      </w:r>
      <w:r>
        <w:rPr>
          <w:rFonts w:hint="eastAsia" w:ascii="Times New Roman" w:hAnsi="Times New Roman" w:eastAsia="楷体_GB2312"/>
          <w:bCs/>
          <w:sz w:val="24"/>
        </w:rPr>
        <w:t>/</w:t>
      </w:r>
      <w:r>
        <w:rPr>
          <w:rFonts w:ascii="Times New Roman" w:hAnsi="Times New Roman" w:eastAsia="楷体_GB2312"/>
          <w:bCs/>
          <w:sz w:val="24"/>
        </w:rPr>
        <w:t>“信用卡文件”负有偿还义务的人及其承继人。</w:t>
      </w:r>
    </w:p>
    <w:p w14:paraId="1ACD720E">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bookmarkStart w:id="19" w:name="_Ref47625100"/>
      <w:r>
        <w:rPr>
          <w:rFonts w:ascii="Times New Roman" w:hAnsi="Times New Roman" w:eastAsia="楷体_GB2312"/>
          <w:b/>
          <w:sz w:val="24"/>
        </w:rPr>
        <w:t>保证人：</w:t>
      </w:r>
      <w:r>
        <w:rPr>
          <w:rFonts w:ascii="Times New Roman" w:hAnsi="Times New Roman" w:eastAsia="楷体_GB2312"/>
          <w:bCs/>
          <w:sz w:val="24"/>
        </w:rPr>
        <w:t>就各笔“贷款”而言，系指根据各“保证合同”为“贷款”提供保证的保证人及其承继人。</w:t>
      </w:r>
      <w:bookmarkEnd w:id="19"/>
    </w:p>
    <w:p w14:paraId="569D4000">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bookmarkStart w:id="20" w:name="_Ref47648349"/>
      <w:r>
        <w:rPr>
          <w:rFonts w:ascii="Times New Roman" w:hAnsi="Times New Roman" w:eastAsia="楷体_GB2312"/>
          <w:b/>
          <w:sz w:val="24"/>
        </w:rPr>
        <w:t>抵押人：</w:t>
      </w:r>
      <w:r>
        <w:rPr>
          <w:rFonts w:ascii="Times New Roman" w:hAnsi="Times New Roman" w:eastAsia="楷体_GB2312"/>
          <w:bCs/>
          <w:sz w:val="24"/>
        </w:rPr>
        <w:t>就各笔“贷款”而言，系指根据各“抵押合同”为“贷款”提供抵押担保的抵押人及其承继人。</w:t>
      </w:r>
      <w:bookmarkEnd w:id="20"/>
    </w:p>
    <w:p w14:paraId="69AD33B0">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出质人：</w:t>
      </w:r>
      <w:r>
        <w:rPr>
          <w:rFonts w:ascii="Times New Roman" w:hAnsi="Times New Roman" w:eastAsia="楷体_GB2312"/>
          <w:bCs/>
          <w:sz w:val="24"/>
        </w:rPr>
        <w:t>就各笔“贷款”而言，系指根据各“质押合同”为“资产”提供质押担保的出质人及其承继人。</w:t>
      </w:r>
    </w:p>
    <w:p w14:paraId="34A4D22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担保人：</w:t>
      </w:r>
      <w:r>
        <w:rPr>
          <w:rFonts w:ascii="Times New Roman" w:hAnsi="Times New Roman" w:eastAsia="楷体_GB2312"/>
          <w:bCs/>
          <w:sz w:val="24"/>
        </w:rPr>
        <w:t>系指“保证人”、“抵押人”、“出质人”的统称。</w:t>
      </w:r>
    </w:p>
    <w:p w14:paraId="321F45F6">
      <w:pPr>
        <w:numPr>
          <w:ilvl w:val="1"/>
          <w:numId w:val="3"/>
        </w:numPr>
        <w:tabs>
          <w:tab w:val="left" w:pos="851"/>
          <w:tab w:val="left" w:pos="1145"/>
        </w:tabs>
        <w:spacing w:before="156" w:beforeLines="50" w:after="156" w:afterLines="50" w:line="360" w:lineRule="auto"/>
        <w:ind w:left="851" w:hanging="851"/>
        <w:rPr>
          <w:rFonts w:eastAsia="楷体_GB2312"/>
          <w:b/>
          <w:bCs/>
          <w:sz w:val="24"/>
        </w:rPr>
      </w:pPr>
      <w:r>
        <w:rPr>
          <w:rFonts w:hint="eastAsia" w:eastAsia="楷体_GB2312"/>
          <w:b/>
          <w:bCs/>
          <w:sz w:val="24"/>
        </w:rPr>
        <w:t>保险人：</w:t>
      </w:r>
      <w:r>
        <w:rPr>
          <w:rFonts w:hint="eastAsia" w:eastAsia="楷体_GB2312"/>
          <w:sz w:val="24"/>
        </w:rPr>
        <w:t>系指在任何保险合同项下负有给付保险金义务的保险公司及其承继人。</w:t>
      </w:r>
    </w:p>
    <w:p w14:paraId="74CBCAC0">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义务人：</w:t>
      </w:r>
      <w:r>
        <w:rPr>
          <w:rFonts w:ascii="Times New Roman" w:hAnsi="Times New Roman" w:eastAsia="楷体_GB2312"/>
          <w:bCs/>
          <w:sz w:val="24"/>
        </w:rPr>
        <w:t>系“借款人”、“抵押人”、“保证人”、“出质人”</w:t>
      </w:r>
      <w:r>
        <w:rPr>
          <w:rFonts w:hint="eastAsia" w:ascii="Times New Roman" w:hAnsi="Times New Roman" w:eastAsia="楷体_GB2312"/>
          <w:bCs/>
          <w:sz w:val="24"/>
        </w:rPr>
        <w:t>、</w:t>
      </w:r>
      <w:r>
        <w:rPr>
          <w:rFonts w:ascii="Times New Roman" w:hAnsi="Times New Roman" w:eastAsia="楷体_GB2312"/>
          <w:bCs/>
          <w:sz w:val="24"/>
        </w:rPr>
        <w:t>“</w:t>
      </w:r>
      <w:r>
        <w:rPr>
          <w:rFonts w:hint="eastAsia" w:ascii="Times New Roman" w:hAnsi="Times New Roman" w:eastAsia="楷体_GB2312"/>
          <w:bCs/>
          <w:sz w:val="24"/>
        </w:rPr>
        <w:t>保险人</w:t>
      </w:r>
      <w:r>
        <w:rPr>
          <w:rFonts w:ascii="Times New Roman" w:hAnsi="Times New Roman" w:eastAsia="楷体_GB2312"/>
          <w:bCs/>
          <w:sz w:val="24"/>
        </w:rPr>
        <w:t>”以及有义务将“抵债资产”转移给“委托人”（如为“信托”存续期间，指“受托人”）的主体及上述之主体的继受人、转让人的统称。</w:t>
      </w:r>
    </w:p>
    <w:p w14:paraId="492E268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抵押资产：</w:t>
      </w:r>
      <w:r>
        <w:rPr>
          <w:rFonts w:ascii="Times New Roman" w:hAnsi="Times New Roman" w:eastAsia="楷体_GB2312"/>
          <w:bCs/>
          <w:sz w:val="24"/>
        </w:rPr>
        <w:t>系指作为“抵押权”标的的房屋、车库（如有）和/或土地使用权等。</w:t>
      </w:r>
    </w:p>
    <w:p w14:paraId="0A88EFC6">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bookmarkStart w:id="21" w:name="_Ref47646203"/>
      <w:r>
        <w:rPr>
          <w:rFonts w:ascii="Times New Roman" w:hAnsi="Times New Roman" w:eastAsia="楷体_GB2312"/>
          <w:b/>
          <w:sz w:val="24"/>
        </w:rPr>
        <w:t>质物：</w:t>
      </w:r>
      <w:r>
        <w:rPr>
          <w:rFonts w:ascii="Times New Roman" w:hAnsi="Times New Roman" w:eastAsia="楷体_GB2312"/>
          <w:bCs/>
          <w:sz w:val="24"/>
        </w:rPr>
        <w:t>系指“质押合同”项下作为“质权”标的的质押财产。</w:t>
      </w:r>
      <w:bookmarkEnd w:id="21"/>
    </w:p>
    <w:p w14:paraId="42633388">
      <w:pPr>
        <w:tabs>
          <w:tab w:val="left" w:pos="851"/>
        </w:tabs>
        <w:spacing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【注：上述有关“保证人”“抵押人”“出质人”“保险人”“担保人”“抵押资产”“质物”等相关定义及后续表述可根据具体项目基础资产附属权益具体情况调整或删减。】</w:t>
      </w:r>
    </w:p>
    <w:p w14:paraId="72BCAF8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资产保证：</w:t>
      </w:r>
      <w:r>
        <w:rPr>
          <w:rFonts w:ascii="Times New Roman" w:hAnsi="Times New Roman" w:eastAsia="楷体_GB2312"/>
          <w:bCs/>
          <w:sz w:val="24"/>
        </w:rPr>
        <w:t>就“委托人”信托给“受托人”的每一笔初始“资产”而言，系指“委托人”在“《信托合同》”第【6.4】款中所做的关于“资产池”在“信托设立日”和“初始起算日”的状况的全部陈述和保证。就“受托人”向“委托人”持续购买的每一笔新增“资产”而言，系指“委托人”在“《资产持续购买合同》”第【】款中所做的关于该等“资产”在对应的“持续购买基准日”和“持续购买日”（除非具体条款中另有明确约定）的状况的全部陈述和保证。</w:t>
      </w:r>
    </w:p>
    <w:p w14:paraId="4BA61CE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bCs/>
          <w:i/>
          <w:iCs/>
          <w:color w:val="FF0000"/>
          <w:sz w:val="24"/>
        </w:rPr>
        <w:t>【适用于“个人消费贷款”】</w:t>
      </w:r>
      <w:r>
        <w:rPr>
          <w:rFonts w:ascii="Times New Roman" w:hAnsi="Times New Roman" w:eastAsia="楷体_GB2312"/>
          <w:b/>
          <w:sz w:val="24"/>
        </w:rPr>
        <w:t>合格标准：</w:t>
      </w:r>
      <w:r>
        <w:rPr>
          <w:rFonts w:ascii="Times New Roman" w:hAnsi="Times New Roman" w:eastAsia="楷体_GB2312"/>
          <w:sz w:val="24"/>
        </w:rPr>
        <w:t>就每一笔“贷款”而言，系指在“初始起算日”和“信托财产交付日”</w:t>
      </w:r>
      <w:bookmarkStart w:id="22" w:name="_Hlk148082229"/>
      <w:r>
        <w:rPr>
          <w:rFonts w:ascii="Times New Roman" w:hAnsi="Times New Roman" w:eastAsia="楷体_GB2312"/>
          <w:sz w:val="24"/>
        </w:rPr>
        <w:t>（适用于初始“资产”，下同）或在“持续购买基准日”和“持续购买日”（适用于新增“资产”，下同）应符合的如下标准（下述每项合格标准对日期有特殊说明的以该项合格标准所述时间为准），但如果任一笔“贷款”于“初始起算日”之后且在“信托财产交付日”之前被清偿完毕，则就该笔“贷款”而言，仅在“初始起算日”满足以下合格标准</w:t>
      </w:r>
      <w:bookmarkEnd w:id="22"/>
      <w:r>
        <w:rPr>
          <w:rFonts w:ascii="Times New Roman" w:hAnsi="Times New Roman" w:eastAsia="楷体_GB2312"/>
          <w:sz w:val="24"/>
        </w:rPr>
        <w:t>：</w:t>
      </w:r>
    </w:p>
    <w:p w14:paraId="3EAF2AAC">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“借款人”为“中国”公民或永久居民，且在“贷款”发放时年满18周岁；</w:t>
      </w:r>
    </w:p>
    <w:p w14:paraId="6104EC23">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“借款人”不是与“发起机构”签订劳动合同的雇员；</w:t>
      </w:r>
    </w:p>
    <w:p w14:paraId="14E3EAE3">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根据“发起机构”的内部贷款记录、“借款人”的征信记录，“借款人”均不存在不良信用记录；</w:t>
      </w:r>
    </w:p>
    <w:p w14:paraId="06B6B6B9">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担保人”（如有）为依照“中国”“法律”在“中国”成立并合法存续的法人、非法人组织或在“担保合同”（如有）签署时年满18周岁的“中国”公民或永久居民；“担保人”（如有）为法人、非法人组织的，不属于国家机关；</w:t>
      </w:r>
    </w:p>
    <w:p w14:paraId="2A8C89C9">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相关“贷款”项下的所有应付金额均以“人民币”为单位；</w:t>
      </w:r>
    </w:p>
    <w:p w14:paraId="6C8EAECC">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每笔“贷款”均为“发起机构”发放的个人消费类贷款业务，贷款用途均为“借款人”的【个人消费】，不涉及购置房屋或投资；</w:t>
      </w:r>
    </w:p>
    <w:p w14:paraId="38D4AC97">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在“初始起算日”，根据“发起机构”的贷款风险分类标准，“贷款”为正常类；</w:t>
      </w:r>
    </w:p>
    <w:p w14:paraId="51EDE6A9">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贷款合同”、“担保合同”（如有）适用“中国”“法律”，在“中国”“法律”项下合法有效，并构成相关“借款人”、担保人（如有）合法、有效和有约束力的义务，债权人可根据其条款向“借款人”、担保人（如有）主张权利；如果“发起机构”已主张解除或生效裁判文书已确认解除某笔“贷款合同”、“担保合同”（如有）的，该“贷款合同”、“担保合同”（如有）在被解除之前应满足前述条件；</w:t>
      </w:r>
    </w:p>
    <w:p w14:paraId="2EB6B803">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“借款人”无迟延支付“</w:t>
      </w:r>
      <w:r>
        <w:rPr>
          <w:rFonts w:hint="eastAsia" w:ascii="Times New Roman" w:hAnsi="Times New Roman" w:eastAsia="楷体_GB2312"/>
          <w:color w:val="000000"/>
          <w:sz w:val="24"/>
        </w:rPr>
        <w:t>贷</w:t>
      </w:r>
      <w:r>
        <w:rPr>
          <w:rFonts w:ascii="Times New Roman" w:hAnsi="Times New Roman" w:eastAsia="楷体_GB2312"/>
          <w:color w:val="000000"/>
          <w:sz w:val="24"/>
        </w:rPr>
        <w:t>款合同”项下到期应付款项的情形，且“借款人”在相应借据项下历史上发生利息或本金逾期支付天数单次不超过【】天；</w:t>
      </w:r>
    </w:p>
    <w:p w14:paraId="32BE2408">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除法定抵销权以外，相关“借款人”不对该“贷款”享有任何主张扣减或减免应付款项的权利；</w:t>
      </w:r>
    </w:p>
    <w:p w14:paraId="437911AF">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除非“借款人”（包括代为清偿的第三方）全部提前偿还了所有的应付款项（包括现时的和将来的），任何“借款人”均无权选择终止该“贷款合同”；</w:t>
      </w:r>
    </w:p>
    <w:p w14:paraId="16A84B0E">
      <w:pPr>
        <w:numPr>
          <w:ilvl w:val="0"/>
          <w:numId w:val="5"/>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“贷款”及相关“附属权益”（如有）可以进行合法有效的转让，无需取得“借款人”或任何第三方的同意。</w:t>
      </w:r>
    </w:p>
    <w:p w14:paraId="515421D1">
      <w:pPr>
        <w:pStyle w:val="65"/>
        <w:tabs>
          <w:tab w:val="left" w:pos="425"/>
          <w:tab w:val="left" w:pos="851"/>
          <w:tab w:val="left" w:pos="4973"/>
        </w:tabs>
        <w:spacing w:before="156" w:beforeLines="50" w:after="156" w:afterLines="50" w:line="360" w:lineRule="auto"/>
        <w:ind w:left="851" w:firstLine="0" w:firstLineChars="0"/>
        <w:rPr>
          <w:rFonts w:ascii="Times New Roman" w:hAnsi="Times New Roman" w:eastAsia="楷体_GB2312"/>
          <w:b/>
          <w:bCs/>
          <w:i/>
          <w:iCs/>
          <w:color w:val="FF0000"/>
          <w:sz w:val="24"/>
        </w:rPr>
      </w:pPr>
      <w:r>
        <w:rPr>
          <w:rFonts w:ascii="Times New Roman" w:hAnsi="Times New Roman" w:eastAsia="楷体_GB2312"/>
          <w:b/>
          <w:bCs/>
          <w:i/>
          <w:iCs/>
          <w:color w:val="FF0000"/>
          <w:sz w:val="24"/>
        </w:rPr>
        <w:t>【注：合格标准的具体内容</w:t>
      </w:r>
      <w:bookmarkStart w:id="23" w:name="_Hlk221048645"/>
      <w:r>
        <w:rPr>
          <w:rFonts w:ascii="Times New Roman" w:hAnsi="Times New Roman" w:eastAsia="楷体_GB2312"/>
          <w:b/>
          <w:bCs/>
          <w:i/>
          <w:iCs/>
          <w:color w:val="FF0000"/>
          <w:sz w:val="24"/>
        </w:rPr>
        <w:t>可根据项目实际情况进行调整，但应符合法律规定和监管要求</w:t>
      </w:r>
      <w:bookmarkEnd w:id="23"/>
      <w:r>
        <w:rPr>
          <w:rFonts w:ascii="Times New Roman" w:hAnsi="Times New Roman" w:eastAsia="楷体_GB2312"/>
          <w:b/>
          <w:bCs/>
          <w:i/>
          <w:iCs/>
          <w:color w:val="FF0000"/>
          <w:sz w:val="24"/>
        </w:rPr>
        <w:t>，下同。另外，待根据每期项目资产情况确认入池个人消费贷款债权是否存在抵押资产或其他担保，如无，可删除“抵押资产”相关表述；如为附质押、保证的贷款，可补充质押、保证相关表述；如为信用贷款，增加合格标准要求：每笔“贷款”在发放时均为信用贷款。】</w:t>
      </w:r>
    </w:p>
    <w:p w14:paraId="23A21E94">
      <w:pPr>
        <w:tabs>
          <w:tab w:val="left" w:pos="425"/>
        </w:tabs>
        <w:spacing w:line="360" w:lineRule="auto"/>
        <w:ind w:left="850" w:leftChars="405"/>
        <w:rPr>
          <w:rFonts w:ascii="Times New Roman" w:hAnsi="Times New Roman" w:eastAsia="楷体_GB2312"/>
          <w:b/>
          <w:sz w:val="24"/>
        </w:rPr>
      </w:pPr>
      <w:r>
        <w:rPr>
          <w:rFonts w:ascii="Times New Roman" w:hAnsi="Times New Roman" w:eastAsia="楷体_GB2312"/>
          <w:b/>
          <w:i/>
          <w:iCs/>
          <w:color w:val="FF0000"/>
          <w:sz w:val="24"/>
        </w:rPr>
        <w:t>【适用于“信用卡债权”】</w:t>
      </w:r>
      <w:r>
        <w:rPr>
          <w:rFonts w:ascii="Times New Roman" w:hAnsi="Times New Roman" w:eastAsia="楷体_GB2312"/>
          <w:b/>
          <w:sz w:val="24"/>
        </w:rPr>
        <w:t>合格标准：</w:t>
      </w:r>
      <w:r>
        <w:rPr>
          <w:rFonts w:ascii="Times New Roman" w:hAnsi="Times New Roman" w:eastAsia="楷体_GB2312"/>
          <w:bCs/>
          <w:sz w:val="24"/>
        </w:rPr>
        <w:t>就每一笔“信用卡债权”而言，系指在“初始起算日”和“信托财产交付日”（适用于初始“资产”，下同）或在“持续购买基准日”和“持续购买日”（适用于新增“资产”，下同）应符合的如下标准（下述每项合格标准对日期有特殊说明的以该项合格标准所述时间为准）</w:t>
      </w:r>
      <w:bookmarkStart w:id="24" w:name="_Hlk148111011"/>
      <w:r>
        <w:rPr>
          <w:rFonts w:ascii="Times New Roman" w:hAnsi="Times New Roman" w:eastAsia="楷体_GB2312"/>
          <w:bCs/>
          <w:sz w:val="24"/>
        </w:rPr>
        <w:t>满足以下合格标准，但如果任一笔“信用卡债权”于“初始起算日”之后且在“信托财产交付日”之前被清偿完毕，则就该笔“信用卡债权”而言，仅在“初始起算日”满足以下合格标准</w:t>
      </w:r>
      <w:bookmarkEnd w:id="24"/>
      <w:r>
        <w:rPr>
          <w:rFonts w:ascii="Times New Roman" w:hAnsi="Times New Roman" w:eastAsia="楷体_GB2312"/>
          <w:bCs/>
          <w:sz w:val="24"/>
        </w:rPr>
        <w:t>：</w:t>
      </w:r>
    </w:p>
    <w:p w14:paraId="1D7BCA77">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“借款人”在申请“信用卡账户”时为“中国”公民或永久居民，且年满18周岁；</w:t>
      </w:r>
    </w:p>
    <w:p w14:paraId="311301A3">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“借款人”的“信用卡账户”为纯信用账户，不涉及任何抵押、质押、保证等担保；</w:t>
      </w:r>
    </w:p>
    <w:p w14:paraId="41328BDA">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在“初始起算日”，根据“发起机构简称”的贷款风险分类标准，“资产”为正常类；</w:t>
      </w:r>
    </w:p>
    <w:p w14:paraId="4B2C0888">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“信用卡债权”项下的所有应付金额均以“人民币”为单位；</w:t>
      </w:r>
    </w:p>
    <w:p w14:paraId="7350172E">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“信用卡债权”历史上不存在逾期超过【】天的情形；</w:t>
      </w:r>
    </w:p>
    <w:p w14:paraId="62962E61">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“信用卡文件”适用“中国”“法律”，在“中国”“法律”项下合法有效，并构成相关“借款人”合法、有效和有约束力的义务，债权人可根据其条款向“借款人”主张权利；</w:t>
      </w:r>
    </w:p>
    <w:p w14:paraId="367E2405">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同一笔“信用卡债权”项下“借款人”的全部未偿债务（包括但不限于“信用卡债权”的“未偿本金余额”、利息、手续费</w:t>
      </w:r>
      <w:r>
        <w:rPr>
          <w:rFonts w:ascii="Times New Roman" w:hAnsi="Times New Roman" w:eastAsia="楷体_GB2312"/>
          <w:bCs/>
          <w:sz w:val="24"/>
        </w:rPr>
        <w:t>（如有）</w:t>
      </w:r>
      <w:r>
        <w:rPr>
          <w:rFonts w:ascii="Times New Roman" w:hAnsi="Times New Roman" w:eastAsia="楷体_GB2312"/>
          <w:color w:val="000000"/>
          <w:sz w:val="24"/>
        </w:rPr>
        <w:t>及其他任何应收款项）全部入池；</w:t>
      </w:r>
    </w:p>
    <w:p w14:paraId="2038930F">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“发起机构”合法拥有每笔“资产”，且未在“资产”上设定质押或其他权利负担；</w:t>
      </w:r>
    </w:p>
    <w:p w14:paraId="356E659D">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“信用卡账户”项下的业务类型为“借款人”的消费透支、消费分期或账单分期；</w:t>
      </w:r>
    </w:p>
    <w:p w14:paraId="673D1698">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针对该“信用卡债权”而言，无论是就其应付金额、还款时间、还款方式、利息或是其他方面，“发起机构”和相关的“借款人”之间均无尚未解决的争议；“信用卡债权”均不涉及任何诉讼、仲裁、破产或执行程序；</w:t>
      </w:r>
    </w:p>
    <w:p w14:paraId="2D98A7E7">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除法定抵销权以外，相关“借款人”不对该“信用卡债权”享有任何主张扣减或减免应付款项的权利；</w:t>
      </w:r>
    </w:p>
    <w:p w14:paraId="546E04DC">
      <w:pPr>
        <w:numPr>
          <w:ilvl w:val="0"/>
          <w:numId w:val="6"/>
        </w:numPr>
        <w:autoSpaceDE w:val="0"/>
        <w:autoSpaceDN w:val="0"/>
        <w:adjustRightInd w:val="0"/>
        <w:spacing w:line="360" w:lineRule="auto"/>
        <w:ind w:left="1276" w:hanging="425"/>
        <w:rPr>
          <w:rFonts w:ascii="Times New Roman" w:hAnsi="Times New Roman" w:eastAsia="楷体_GB2312"/>
          <w:color w:val="000000"/>
          <w:sz w:val="24"/>
        </w:rPr>
      </w:pPr>
      <w:r>
        <w:rPr>
          <w:rFonts w:ascii="Times New Roman" w:hAnsi="Times New Roman" w:eastAsia="楷体_GB2312"/>
          <w:color w:val="000000"/>
          <w:sz w:val="24"/>
        </w:rPr>
        <w:t>“资产”可以进行合法有效的转让，无需取得“借款人”或任何第三方的同意。</w:t>
      </w:r>
    </w:p>
    <w:p w14:paraId="1BBD51C1">
      <w:pPr>
        <w:pStyle w:val="65"/>
        <w:tabs>
          <w:tab w:val="left" w:pos="425"/>
          <w:tab w:val="left" w:pos="851"/>
          <w:tab w:val="left" w:pos="4973"/>
        </w:tabs>
        <w:spacing w:before="156" w:beforeLines="50" w:after="156" w:afterLines="50" w:line="360" w:lineRule="auto"/>
        <w:ind w:left="851" w:firstLine="0" w:firstLineChars="0"/>
        <w:rPr>
          <w:rFonts w:ascii="Times New Roman" w:hAnsi="Times New Roman" w:eastAsia="楷体_GB2312"/>
          <w:color w:val="FF0000"/>
          <w:sz w:val="24"/>
        </w:rPr>
      </w:pPr>
      <w:r>
        <w:rPr>
          <w:rFonts w:ascii="Times New Roman" w:hAnsi="Times New Roman" w:eastAsia="楷体_GB2312"/>
          <w:b/>
          <w:bCs/>
          <w:i/>
          <w:iCs/>
          <w:color w:val="FF0000"/>
          <w:sz w:val="24"/>
        </w:rPr>
        <w:t>【注：以上合格标准均可根据项目实际情况予以调整。】</w:t>
      </w:r>
    </w:p>
    <w:p w14:paraId="48F606D2">
      <w:pPr>
        <w:pStyle w:val="6"/>
        <w:spacing w:before="156" w:beforeLines="50" w:after="156" w:afterLines="50" w:line="360" w:lineRule="auto"/>
        <w:ind w:left="0" w:leftChars="0"/>
        <w:outlineLvl w:val="2"/>
        <w:rPr>
          <w:rFonts w:ascii="Times New Roman" w:hAnsi="Times New Roman" w:eastAsia="楷体_GB2312"/>
          <w:b/>
          <w:sz w:val="24"/>
        </w:rPr>
      </w:pPr>
      <w:r>
        <w:rPr>
          <w:rFonts w:ascii="Times New Roman" w:hAnsi="Times New Roman" w:eastAsia="楷体_GB2312"/>
          <w:b/>
          <w:sz w:val="24"/>
        </w:rPr>
        <w:t>2、信托与信托财产</w:t>
      </w:r>
    </w:p>
    <w:p w14:paraId="2170787D">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w:t>
      </w:r>
      <w:r>
        <w:rPr>
          <w:rFonts w:ascii="Times New Roman" w:hAnsi="Times New Roman" w:eastAsia="楷体_GB2312"/>
          <w:bCs/>
          <w:sz w:val="24"/>
        </w:rPr>
        <w:t>系指根据“《信托合同》”设立的【信托名称】。</w:t>
      </w:r>
    </w:p>
    <w:p w14:paraId="72CB10D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信托财产：</w:t>
      </w:r>
      <w:r>
        <w:rPr>
          <w:rFonts w:ascii="Times New Roman" w:hAnsi="Times New Roman" w:eastAsia="楷体_GB2312"/>
          <w:bCs/>
          <w:sz w:val="24"/>
        </w:rPr>
        <w:t>系指“受托人”因承诺“信托”而在“信托设立日”从“委托人”处取得的初始“资产”、“受托人”在“信托生效日”后向“委托人”持续购买的新增“资产”、“回收款”以及“受托人”因对前述“资产”、“回收款”等管理、运用、处分或者其他情形而取得的财产的总和。</w:t>
      </w:r>
    </w:p>
    <w:p w14:paraId="735252E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信托资金：</w:t>
      </w:r>
      <w:r>
        <w:rPr>
          <w:rFonts w:ascii="Times New Roman" w:hAnsi="Times New Roman" w:eastAsia="楷体_GB2312"/>
          <w:bCs/>
          <w:sz w:val="24"/>
        </w:rPr>
        <w:t>系指“信托财产”中表现为货币形式的部分。</w:t>
      </w:r>
    </w:p>
    <w:p w14:paraId="38448FA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保管资金：</w:t>
      </w:r>
      <w:r>
        <w:rPr>
          <w:rFonts w:ascii="Times New Roman" w:hAnsi="Times New Roman" w:eastAsia="楷体_GB2312"/>
          <w:bCs/>
          <w:sz w:val="24"/>
        </w:rPr>
        <w:t>系指“信托账户”中的资金。</w:t>
      </w:r>
    </w:p>
    <w:p w14:paraId="394740F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回收款：</w:t>
      </w:r>
      <w:r>
        <w:rPr>
          <w:rFonts w:ascii="Times New Roman" w:hAnsi="Times New Roman" w:eastAsia="楷体_GB2312"/>
          <w:bCs/>
          <w:sz w:val="24"/>
        </w:rPr>
        <w:t>系指“信托财产”项下已实际回收的款项，包括“本金回收款”和“收入回收款”。</w:t>
      </w:r>
    </w:p>
    <w:p w14:paraId="7D9370DB">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可用持续购买资金：</w:t>
      </w:r>
      <w:r>
        <w:rPr>
          <w:rFonts w:ascii="Times New Roman" w:hAnsi="Times New Roman" w:eastAsia="楷体_GB2312"/>
          <w:bCs/>
          <w:sz w:val="24"/>
        </w:rPr>
        <w:t>系指</w:t>
      </w:r>
      <w:bookmarkStart w:id="25" w:name="_Hlk38557430"/>
      <w:r>
        <w:rPr>
          <w:rFonts w:ascii="Times New Roman" w:hAnsi="Times New Roman" w:eastAsia="楷体_GB2312"/>
          <w:bCs/>
          <w:sz w:val="24"/>
        </w:rPr>
        <w:t>在“持续购买期”内</w:t>
      </w:r>
      <w:bookmarkEnd w:id="25"/>
      <w:r>
        <w:rPr>
          <w:rFonts w:ascii="Times New Roman" w:hAnsi="Times New Roman" w:eastAsia="楷体_GB2312"/>
          <w:bCs/>
          <w:sz w:val="24"/>
        </w:rPr>
        <w:t>，“受托人”根据“本金分账户”项下资金余额确定的可用于持续购买新增“资产”的资金，该金额应为“本金分账户”中的全部资金预计根据“《信托合同》”第【11.5】款的约定支付完成当期应付的“税收”、费用、报酬、利息后的剩余金额。</w:t>
      </w:r>
    </w:p>
    <w:p w14:paraId="1C5D85C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本金回收款：</w:t>
      </w:r>
      <w:r>
        <w:rPr>
          <w:rFonts w:ascii="Times New Roman" w:hAnsi="Times New Roman" w:eastAsia="楷体_GB2312"/>
          <w:bCs/>
          <w:sz w:val="24"/>
        </w:rPr>
        <w:t>系指“回收款”中的以下各项：</w:t>
      </w:r>
    </w:p>
    <w:p w14:paraId="4AE3209A">
      <w:pPr>
        <w:numPr>
          <w:ilvl w:val="0"/>
          <w:numId w:val="7"/>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“借款人”偿还的“贷款”本金；</w:t>
      </w:r>
    </w:p>
    <w:p w14:paraId="06669BF3">
      <w:pPr>
        <w:numPr>
          <w:ilvl w:val="0"/>
          <w:numId w:val="7"/>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在“借款人”对其债务本金行使法定抵销权后，“委托人”就被抵销的债务本金所支付的相应本金部分；</w:t>
      </w:r>
    </w:p>
    <w:p w14:paraId="29797140">
      <w:pPr>
        <w:numPr>
          <w:ilvl w:val="0"/>
          <w:numId w:val="7"/>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“委托人”根据“《信托合同》”或“《资产持续购买合同》”支付的任何“赎回价格”中所含的本金部分；</w:t>
      </w:r>
    </w:p>
    <w:p w14:paraId="32FA7207">
      <w:pPr>
        <w:numPr>
          <w:ilvl w:val="0"/>
          <w:numId w:val="7"/>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“委托人”根据“《信托合同》”支付的“清仓回购价格”中的本金部分；</w:t>
      </w:r>
    </w:p>
    <w:p w14:paraId="4CF53ED9">
      <w:pPr>
        <w:numPr>
          <w:ilvl w:val="0"/>
          <w:numId w:val="7"/>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“违约贷款”回收资金中可记入本金的所有金额；</w:t>
      </w:r>
    </w:p>
    <w:p w14:paraId="7778EF88">
      <w:pPr>
        <w:numPr>
          <w:ilvl w:val="0"/>
          <w:numId w:val="7"/>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“担保人”（如有）履行担保责任而支付的金额中的本金部分；</w:t>
      </w:r>
    </w:p>
    <w:p w14:paraId="758A3967">
      <w:pPr>
        <w:numPr>
          <w:ilvl w:val="0"/>
          <w:numId w:val="7"/>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“受托人”根据“交易文件”的</w:t>
      </w:r>
      <w:r>
        <w:rPr>
          <w:rFonts w:hint="eastAsia" w:ascii="Times New Roman" w:hAnsi="Times New Roman" w:eastAsia="楷体_GB2312"/>
          <w:sz w:val="24"/>
          <w:szCs w:val="28"/>
        </w:rPr>
        <w:t>约定</w:t>
      </w:r>
      <w:r>
        <w:rPr>
          <w:rFonts w:ascii="Times New Roman" w:hAnsi="Times New Roman" w:eastAsia="楷体_GB2312"/>
          <w:sz w:val="24"/>
          <w:szCs w:val="28"/>
        </w:rPr>
        <w:t>清算“信托财产”而取得的回收资金可记入本金的部分。</w:t>
      </w:r>
    </w:p>
    <w:p w14:paraId="52C90E2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收入回收款：</w:t>
      </w:r>
      <w:r>
        <w:rPr>
          <w:rFonts w:ascii="Times New Roman" w:hAnsi="Times New Roman" w:eastAsia="楷体_GB2312"/>
          <w:bCs/>
          <w:sz w:val="24"/>
        </w:rPr>
        <w:t>系指除“本金回收款”以外的“回收款”，包括但不限于：</w:t>
      </w:r>
    </w:p>
    <w:p w14:paraId="0630604F">
      <w:pPr>
        <w:numPr>
          <w:ilvl w:val="0"/>
          <w:numId w:val="8"/>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相关的手续费</w:t>
      </w:r>
      <w:r>
        <w:rPr>
          <w:rFonts w:ascii="Times New Roman" w:hAnsi="Times New Roman" w:eastAsia="楷体_GB2312"/>
          <w:bCs/>
          <w:sz w:val="24"/>
        </w:rPr>
        <w:t>（如有）</w:t>
      </w:r>
      <w:r>
        <w:rPr>
          <w:rFonts w:ascii="Times New Roman" w:hAnsi="Times New Roman" w:eastAsia="楷体_GB2312"/>
          <w:sz w:val="24"/>
          <w:szCs w:val="28"/>
        </w:rPr>
        <w:t>、利息、违约金、报酬及其他收费（包括在“借款人”对前述各项债务行使法定抵销权后，“委托人”就被抵销的金额所支付的相应款项，“委托人”根据“《信托合同》”或“《资产持续购买合同》”支付的任何“赎回价格”中所含的前述任何款项，以及“委托人”根据“《信托合同》”支付的“清仓回购价格”中所含的前述任何款项</w:t>
      </w:r>
      <w:r>
        <w:rPr>
          <w:rFonts w:hint="eastAsia" w:ascii="Times New Roman" w:hAnsi="Times New Roman" w:eastAsia="楷体_GB2312"/>
          <w:sz w:val="24"/>
          <w:szCs w:val="28"/>
        </w:rPr>
        <w:t>）</w:t>
      </w:r>
      <w:r>
        <w:rPr>
          <w:rFonts w:ascii="Times New Roman" w:hAnsi="Times New Roman" w:eastAsia="楷体_GB2312"/>
          <w:sz w:val="24"/>
          <w:szCs w:val="28"/>
        </w:rPr>
        <w:t>；</w:t>
      </w:r>
    </w:p>
    <w:p w14:paraId="08EB7964">
      <w:pPr>
        <w:numPr>
          <w:ilvl w:val="0"/>
          <w:numId w:val="8"/>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“信托账户”中的资金取得的所有利息及投资收益，包括但不限于该等资金进行“合格投资”所取得的收益；</w:t>
      </w:r>
    </w:p>
    <w:p w14:paraId="4C9C97C4">
      <w:pPr>
        <w:numPr>
          <w:ilvl w:val="0"/>
          <w:numId w:val="8"/>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“违约贷款”回收资金中可归为手续费</w:t>
      </w:r>
      <w:r>
        <w:rPr>
          <w:rFonts w:ascii="Times New Roman" w:hAnsi="Times New Roman" w:eastAsia="楷体_GB2312"/>
          <w:bCs/>
          <w:sz w:val="24"/>
        </w:rPr>
        <w:t>（如有）</w:t>
      </w:r>
      <w:r>
        <w:rPr>
          <w:rFonts w:ascii="Times New Roman" w:hAnsi="Times New Roman" w:eastAsia="楷体_GB2312"/>
          <w:sz w:val="24"/>
          <w:szCs w:val="28"/>
        </w:rPr>
        <w:t>、利息、违约金、报酬及其他收费的款项；</w:t>
      </w:r>
    </w:p>
    <w:p w14:paraId="2E771B03">
      <w:pPr>
        <w:numPr>
          <w:ilvl w:val="0"/>
          <w:numId w:val="8"/>
        </w:numPr>
        <w:spacing w:before="156" w:beforeLines="50" w:after="156" w:afterLines="50" w:line="360" w:lineRule="auto"/>
        <w:ind w:left="1274" w:leftChars="405" w:hanging="424" w:hangingChars="177"/>
        <w:rPr>
          <w:rFonts w:ascii="Times New Roman" w:hAnsi="Times New Roman" w:eastAsia="楷体_GB2312"/>
        </w:rPr>
      </w:pPr>
      <w:r>
        <w:rPr>
          <w:rFonts w:ascii="Times New Roman" w:hAnsi="Times New Roman" w:eastAsia="楷体_GB2312"/>
          <w:sz w:val="24"/>
          <w:szCs w:val="28"/>
        </w:rPr>
        <w:t>“担保人”（如有）履行担保责任而支付的金额中除本金以外的部分；</w:t>
      </w:r>
    </w:p>
    <w:p w14:paraId="2A540FA4">
      <w:pPr>
        <w:numPr>
          <w:ilvl w:val="0"/>
          <w:numId w:val="8"/>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“受托人”根据“交易文件”的</w:t>
      </w:r>
      <w:r>
        <w:rPr>
          <w:rFonts w:hint="eastAsia" w:ascii="Times New Roman" w:hAnsi="Times New Roman" w:eastAsia="楷体_GB2312"/>
          <w:sz w:val="24"/>
          <w:szCs w:val="28"/>
        </w:rPr>
        <w:t>约定</w:t>
      </w:r>
      <w:r>
        <w:rPr>
          <w:rFonts w:ascii="Times New Roman" w:hAnsi="Times New Roman" w:eastAsia="楷体_GB2312"/>
          <w:sz w:val="24"/>
          <w:szCs w:val="28"/>
        </w:rPr>
        <w:t>清算“信托财产”而取得的回收资金中除本金以外的部分。</w:t>
      </w:r>
    </w:p>
    <w:p w14:paraId="75E8E057">
      <w:pPr>
        <w:spacing w:before="156" w:beforeLines="50" w:after="156" w:afterLines="50" w:line="360" w:lineRule="auto"/>
        <w:ind w:left="850" w:leftChars="405"/>
        <w:rPr>
          <w:rFonts w:ascii="Times New Roman" w:hAnsi="Times New Roman" w:eastAsia="楷体_GB2312"/>
          <w:b/>
          <w:bCs/>
          <w:i/>
          <w:iCs/>
          <w:color w:val="FF0000"/>
          <w:sz w:val="24"/>
          <w:szCs w:val="28"/>
        </w:rPr>
      </w:pPr>
      <w:r>
        <w:rPr>
          <w:rFonts w:ascii="Times New Roman" w:hAnsi="Times New Roman" w:eastAsia="楷体_GB2312"/>
          <w:b/>
          <w:bCs/>
          <w:i/>
          <w:iCs/>
          <w:color w:val="FF0000"/>
          <w:sz w:val="24"/>
          <w:szCs w:val="28"/>
        </w:rPr>
        <w:t>【注：“回收款”的范围</w:t>
      </w:r>
      <w:r>
        <w:rPr>
          <w:rFonts w:ascii="Times New Roman" w:hAnsi="Times New Roman" w:eastAsia="楷体_GB2312"/>
          <w:b/>
          <w:bCs/>
          <w:i/>
          <w:iCs/>
          <w:color w:val="FF0000"/>
          <w:sz w:val="24"/>
        </w:rPr>
        <w:t>可根据项目资产情况予以补充、完善或调整。</w:t>
      </w:r>
      <w:r>
        <w:rPr>
          <w:rFonts w:ascii="Times New Roman" w:hAnsi="Times New Roman" w:eastAsia="楷体_GB2312"/>
          <w:b/>
          <w:bCs/>
          <w:i/>
          <w:iCs/>
          <w:color w:val="FF0000"/>
          <w:sz w:val="24"/>
          <w:szCs w:val="28"/>
        </w:rPr>
        <w:t>】</w:t>
      </w:r>
    </w:p>
    <w:p w14:paraId="01F35AAD">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合格投资：</w:t>
      </w:r>
      <w:r>
        <w:rPr>
          <w:rFonts w:ascii="Times New Roman" w:hAnsi="Times New Roman" w:eastAsia="楷体_GB2312"/>
          <w:bCs/>
          <w:sz w:val="24"/>
        </w:rPr>
        <w:t>系指“受托人”将“信托账户”内的资金在闲置期间按“《信托合同》”的约定与“合格实体”进行的以“人民币”计价和结算的金融机构存款。合格投资中相当于当期分配所需的部分应不迟于下一个“信托分配日”</w:t>
      </w:r>
      <w:r>
        <w:rPr>
          <w:rFonts w:ascii="Times New Roman" w:hAnsi="Times New Roman" w:eastAsia="楷体_GB2312"/>
          <w:i/>
          <w:iCs/>
          <w:color w:val="000000" w:themeColor="text1"/>
          <w:kern w:val="0"/>
          <w:sz w:val="24"/>
          <w14:textFill>
            <w14:solidFill>
              <w14:schemeClr w14:val="tx1"/>
            </w14:solidFill>
          </w14:textFill>
        </w:rPr>
        <w:t>【具体时间】</w:t>
      </w:r>
      <w:r>
        <w:rPr>
          <w:rFonts w:ascii="Times New Roman" w:hAnsi="Times New Roman" w:eastAsia="楷体_GB2312"/>
          <w:bCs/>
          <w:sz w:val="24"/>
        </w:rPr>
        <w:t>到期。</w:t>
      </w:r>
    </w:p>
    <w:p w14:paraId="6FEA5611">
      <w:pPr>
        <w:spacing w:before="156" w:beforeLines="50" w:after="156" w:afterLines="50" w:line="360" w:lineRule="auto"/>
        <w:ind w:left="851"/>
        <w:rPr>
          <w:rFonts w:ascii="Times New Roman" w:hAnsi="Times New Roman" w:eastAsia="楷体_GB2312"/>
          <w:b/>
          <w:bCs/>
          <w:i/>
          <w:iCs/>
          <w:color w:val="FF0000"/>
          <w:sz w:val="24"/>
          <w:szCs w:val="28"/>
        </w:rPr>
      </w:pPr>
      <w:r>
        <w:rPr>
          <w:rFonts w:ascii="Times New Roman" w:hAnsi="Times New Roman" w:eastAsia="楷体_GB2312"/>
          <w:b/>
          <w:bCs/>
          <w:i/>
          <w:iCs/>
          <w:color w:val="FF0000"/>
          <w:sz w:val="24"/>
          <w:szCs w:val="28"/>
        </w:rPr>
        <w:t>【注：合格投资（</w:t>
      </w:r>
      <w:r>
        <w:rPr>
          <w:rFonts w:hint="eastAsia" w:ascii="Times New Roman" w:hAnsi="Times New Roman" w:eastAsia="楷体_GB2312"/>
          <w:b/>
          <w:bCs/>
          <w:i/>
          <w:iCs/>
          <w:color w:val="FF0000"/>
          <w:sz w:val="24"/>
          <w:szCs w:val="28"/>
        </w:rPr>
        <w:t>1</w:t>
      </w:r>
      <w:r>
        <w:rPr>
          <w:rFonts w:ascii="Times New Roman" w:hAnsi="Times New Roman" w:eastAsia="楷体_GB2312"/>
          <w:b/>
          <w:bCs/>
          <w:i/>
          <w:iCs/>
          <w:color w:val="FF0000"/>
          <w:sz w:val="24"/>
          <w:szCs w:val="28"/>
        </w:rPr>
        <w:t>）具体品种可调整；（</w:t>
      </w:r>
      <w:r>
        <w:rPr>
          <w:rFonts w:hint="eastAsia" w:ascii="Times New Roman" w:hAnsi="Times New Roman" w:eastAsia="楷体_GB2312"/>
          <w:b/>
          <w:bCs/>
          <w:i/>
          <w:iCs/>
          <w:color w:val="FF0000"/>
          <w:sz w:val="24"/>
          <w:szCs w:val="28"/>
        </w:rPr>
        <w:t>2</w:t>
      </w:r>
      <w:r>
        <w:rPr>
          <w:rFonts w:ascii="Times New Roman" w:hAnsi="Times New Roman" w:eastAsia="楷体_GB2312"/>
          <w:b/>
          <w:bCs/>
          <w:i/>
          <w:iCs/>
          <w:color w:val="FF0000"/>
          <w:sz w:val="24"/>
          <w:szCs w:val="28"/>
        </w:rPr>
        <w:t>）不脱离信贷资产证券化试点管理办法规定的“流动性好、变现能力强的国债、政策性金融债及中国人民银行允许投资的其他金融产品”的范畴。】</w:t>
      </w:r>
    </w:p>
    <w:p w14:paraId="0BF4C55D">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不合格资产：</w:t>
      </w:r>
      <w:r>
        <w:rPr>
          <w:rFonts w:ascii="Times New Roman" w:hAnsi="Times New Roman" w:eastAsia="楷体_GB2312"/>
          <w:bCs/>
          <w:sz w:val="24"/>
        </w:rPr>
        <w:t>系指在“初始起算日”或“信托设立日”（适用于初始“资产”）或在“持续购买基准日”和“持续购买日”（适用于新增“资产”）不符合“资产保证”的“资产”。</w:t>
      </w:r>
    </w:p>
    <w:p w14:paraId="48443CA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违约贷款：</w:t>
      </w:r>
      <w:r>
        <w:rPr>
          <w:rFonts w:ascii="Times New Roman" w:hAnsi="Times New Roman" w:eastAsia="楷体_GB2312"/>
          <w:bCs/>
          <w:sz w:val="24"/>
        </w:rPr>
        <w:t>在无重复计算的情况下，系指出现以下任何一种情况的“贷款”：</w:t>
      </w:r>
    </w:p>
    <w:p w14:paraId="7CD7B186">
      <w:pPr>
        <w:numPr>
          <w:ilvl w:val="0"/>
          <w:numId w:val="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该“贷款”逾期超过</w:t>
      </w:r>
      <w:r>
        <w:rPr>
          <w:rFonts w:hint="eastAsia" w:ascii="Times New Roman" w:hAnsi="Times New Roman" w:eastAsia="楷体_GB2312"/>
          <w:sz w:val="24"/>
          <w:szCs w:val="28"/>
        </w:rPr>
        <w:t>【】</w:t>
      </w:r>
      <w:r>
        <w:rPr>
          <w:rFonts w:ascii="Times New Roman" w:hAnsi="Times New Roman" w:eastAsia="楷体_GB2312"/>
          <w:sz w:val="24"/>
          <w:szCs w:val="28"/>
        </w:rPr>
        <w:t>天（不含</w:t>
      </w:r>
      <w:r>
        <w:rPr>
          <w:rFonts w:hint="eastAsia" w:ascii="Times New Roman" w:hAnsi="Times New Roman" w:eastAsia="楷体_GB2312"/>
          <w:sz w:val="24"/>
          <w:szCs w:val="28"/>
        </w:rPr>
        <w:t>【】</w:t>
      </w:r>
      <w:r>
        <w:rPr>
          <w:rFonts w:ascii="Times New Roman" w:hAnsi="Times New Roman" w:eastAsia="楷体_GB2312"/>
          <w:sz w:val="24"/>
          <w:szCs w:val="28"/>
        </w:rPr>
        <w:t>天）仍未足额偿还；或</w:t>
      </w:r>
    </w:p>
    <w:p w14:paraId="79C2603B">
      <w:pPr>
        <w:numPr>
          <w:ilvl w:val="0"/>
          <w:numId w:val="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“贷款服务机构”根据其标准服务程序认定为损失的“贷款”。</w:t>
      </w:r>
    </w:p>
    <w:p w14:paraId="30F2AFB2">
      <w:pPr>
        <w:tabs>
          <w:tab w:val="left" w:pos="425"/>
          <w:tab w:val="left" w:pos="720"/>
          <w:tab w:val="left" w:pos="851"/>
          <w:tab w:val="left" w:pos="1145"/>
        </w:tabs>
        <w:spacing w:before="156" w:beforeLines="50" w:after="156" w:afterLines="50" w:line="360" w:lineRule="auto"/>
        <w:ind w:left="851"/>
        <w:rPr>
          <w:rFonts w:ascii="Times New Roman" w:hAnsi="Times New Roman" w:eastAsia="楷体_GB2312"/>
          <w:sz w:val="24"/>
          <w:szCs w:val="28"/>
        </w:rPr>
      </w:pPr>
      <w:r>
        <w:rPr>
          <w:rFonts w:ascii="Times New Roman" w:hAnsi="Times New Roman" w:eastAsia="楷体_GB2312"/>
          <w:sz w:val="24"/>
          <w:szCs w:val="28"/>
        </w:rPr>
        <w:t>“贷款”在被认定为“违约贷款”后，即使“借款人”又正常还款或结清该笔“贷款”，该笔“贷款”仍不能恢复为正常“贷款”。</w:t>
      </w:r>
    </w:p>
    <w:p w14:paraId="694B07AB">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赎回：</w:t>
      </w:r>
      <w:r>
        <w:rPr>
          <w:rFonts w:ascii="Times New Roman" w:hAnsi="Times New Roman" w:eastAsia="楷体_GB2312"/>
          <w:bCs/>
          <w:sz w:val="24"/>
        </w:rPr>
        <w:t>系指“信托”设立后，“委托人”根据“《信托合同》”或“《资产持续购买合同》”的约定回购“不合格资产”。</w:t>
      </w:r>
    </w:p>
    <w:p w14:paraId="7E721A50">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赎回价格：</w:t>
      </w:r>
      <w:r>
        <w:rPr>
          <w:rFonts w:ascii="Times New Roman" w:hAnsi="Times New Roman" w:eastAsia="楷体_GB2312"/>
          <w:bCs/>
          <w:sz w:val="24"/>
        </w:rPr>
        <w:t>系指“委托人”根据“《信托合同》”或“《资产持续购买合同》”的约定“赎回”相应“资产”的价格，即【】。</w:t>
      </w:r>
    </w:p>
    <w:p w14:paraId="7A685E2E">
      <w:pPr>
        <w:tabs>
          <w:tab w:val="left" w:pos="425"/>
          <w:tab w:val="left" w:pos="720"/>
          <w:tab w:val="left" w:pos="851"/>
          <w:tab w:val="left" w:pos="1145"/>
        </w:tabs>
        <w:spacing w:before="156" w:beforeLines="50" w:after="156" w:afterLines="50" w:line="360" w:lineRule="auto"/>
        <w:ind w:left="851"/>
        <w:rPr>
          <w:rFonts w:ascii="Times New Roman" w:hAnsi="Times New Roman" w:eastAsia="楷体_GB2312"/>
          <w:b/>
          <w:i/>
          <w:iCs/>
          <w:color w:val="FF0000"/>
          <w:sz w:val="24"/>
        </w:rPr>
      </w:pPr>
      <w:r>
        <w:rPr>
          <w:rFonts w:ascii="Times New Roman" w:hAnsi="Times New Roman" w:eastAsia="楷体_GB2312"/>
          <w:b/>
          <w:i/>
          <w:iCs/>
          <w:color w:val="FF0000"/>
          <w:sz w:val="24"/>
        </w:rPr>
        <w:t>【注：</w:t>
      </w:r>
      <w:r>
        <w:rPr>
          <w:rFonts w:ascii="Times New Roman" w:hAnsi="Times New Roman" w:eastAsia="楷体_GB2312"/>
          <w:b/>
          <w:bCs/>
          <w:i/>
          <w:iCs/>
          <w:color w:val="FF0000"/>
          <w:sz w:val="24"/>
        </w:rPr>
        <w:t>可根据项目实际情况补充所适用的赎回价格计算公式。</w:t>
      </w:r>
      <w:r>
        <w:rPr>
          <w:rFonts w:ascii="Times New Roman" w:hAnsi="Times New Roman" w:eastAsia="楷体_GB2312"/>
          <w:b/>
          <w:i/>
          <w:iCs/>
          <w:color w:val="FF0000"/>
          <w:sz w:val="24"/>
        </w:rPr>
        <w:t>】</w:t>
      </w:r>
    </w:p>
    <w:p w14:paraId="10F1F2F0">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清仓回购：</w:t>
      </w:r>
      <w:r>
        <w:rPr>
          <w:rFonts w:ascii="Times New Roman" w:hAnsi="Times New Roman" w:eastAsia="楷体_GB2312"/>
          <w:bCs/>
          <w:sz w:val="24"/>
        </w:rPr>
        <w:t>系指“委托人”根据“《信托合同》”第【13】条的规定回购届时剩余的全部“资产池”。</w:t>
      </w:r>
    </w:p>
    <w:p w14:paraId="2D01AE2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清仓回购价格：</w:t>
      </w:r>
      <w:r>
        <w:rPr>
          <w:rFonts w:ascii="Times New Roman" w:hAnsi="Times New Roman" w:eastAsia="楷体_GB2312"/>
          <w:bCs/>
          <w:sz w:val="24"/>
        </w:rPr>
        <w:t>系指“委托人”根据“《信托合同》”的约定进行“清仓回购”时“委托人”与“受托人”协商一致的“资产池”的公允价值。</w:t>
      </w:r>
    </w:p>
    <w:p w14:paraId="34826376">
      <w:pPr>
        <w:tabs>
          <w:tab w:val="left" w:pos="425"/>
          <w:tab w:val="left" w:pos="720"/>
          <w:tab w:val="left" w:pos="851"/>
          <w:tab w:val="left" w:pos="1145"/>
        </w:tabs>
        <w:spacing w:before="156" w:beforeLines="50" w:after="156" w:afterLines="50" w:line="360" w:lineRule="auto"/>
        <w:ind w:left="851"/>
        <w:rPr>
          <w:rFonts w:ascii="Times New Roman" w:hAnsi="Times New Roman" w:eastAsia="楷体_GB2312"/>
          <w:b/>
          <w:i/>
          <w:iCs/>
          <w:color w:val="FF0000"/>
          <w:sz w:val="24"/>
        </w:rPr>
      </w:pPr>
      <w:r>
        <w:rPr>
          <w:rFonts w:ascii="Times New Roman" w:hAnsi="Times New Roman" w:eastAsia="楷体_GB2312"/>
          <w:b/>
          <w:i/>
          <w:iCs/>
          <w:color w:val="FF0000"/>
          <w:sz w:val="24"/>
        </w:rPr>
        <w:t>【注：</w:t>
      </w:r>
      <w:bookmarkStart w:id="26" w:name="_Hlk221182470"/>
      <w:r>
        <w:rPr>
          <w:rFonts w:ascii="Times New Roman" w:hAnsi="Times New Roman" w:eastAsia="楷体_GB2312"/>
          <w:b/>
          <w:i/>
          <w:iCs/>
          <w:color w:val="FF0000"/>
          <w:sz w:val="24"/>
        </w:rPr>
        <w:t>清仓回购价格可根据项目具体安排明确计算规则</w:t>
      </w:r>
      <w:bookmarkEnd w:id="26"/>
      <w:r>
        <w:rPr>
          <w:rFonts w:ascii="Times New Roman" w:hAnsi="Times New Roman" w:eastAsia="楷体_GB2312"/>
          <w:b/>
          <w:i/>
          <w:iCs/>
          <w:color w:val="FF0000"/>
          <w:sz w:val="24"/>
        </w:rPr>
        <w:t>。】</w:t>
      </w:r>
    </w:p>
    <w:p w14:paraId="092E6B2E">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累计净损失：</w:t>
      </w:r>
      <w:r>
        <w:rPr>
          <w:rFonts w:ascii="Times New Roman" w:hAnsi="Times New Roman" w:eastAsia="楷体_GB2312"/>
          <w:bCs/>
          <w:sz w:val="24"/>
        </w:rPr>
        <w:t>就某一个“收款期间”而言，“资产池”的“累计净损失”系指通过A+B计算得出的数值。其中：A为(a)减去(b)的差值，(a)系指截至某一“收款期间”期初，成为“违约贷款”的全部“贷款”在成为“违约贷款”时的全部“未偿本金余额”，(b)系指截至该“收款期间”期初，“违约贷款”的全部回收资金中可归入本金的全部金额；B为以下（c）减去（d）的差值：(c)指在该“收款期间”内成为“违约贷款”的“贷款”在成为“违约贷款”时的“未偿本金余额”；(d)为在该“收款期间”内“违约贷款”回收资金中可归入本金的全部金额。</w:t>
      </w:r>
    </w:p>
    <w:p w14:paraId="54D277DC">
      <w:pPr>
        <w:pStyle w:val="6"/>
        <w:spacing w:before="156" w:beforeLines="50" w:after="156" w:afterLines="50" w:line="360" w:lineRule="auto"/>
        <w:ind w:left="0" w:leftChars="0"/>
        <w:outlineLvl w:val="2"/>
        <w:rPr>
          <w:rFonts w:ascii="Times New Roman" w:hAnsi="Times New Roman" w:eastAsia="楷体_GB2312"/>
          <w:b/>
          <w:sz w:val="24"/>
        </w:rPr>
      </w:pPr>
      <w:bookmarkStart w:id="27" w:name="_Toc173860436"/>
      <w:r>
        <w:rPr>
          <w:rFonts w:ascii="Times New Roman" w:hAnsi="Times New Roman" w:eastAsia="楷体_GB2312"/>
          <w:b/>
          <w:sz w:val="24"/>
        </w:rPr>
        <w:t>3、信托受益权</w:t>
      </w:r>
      <w:bookmarkEnd w:id="27"/>
      <w:r>
        <w:rPr>
          <w:rFonts w:ascii="Times New Roman" w:hAnsi="Times New Roman" w:eastAsia="楷体_GB2312"/>
          <w:b/>
          <w:sz w:val="24"/>
        </w:rPr>
        <w:t>和资产支持证券</w:t>
      </w:r>
    </w:p>
    <w:p w14:paraId="294D1CF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信托利益：</w:t>
      </w:r>
      <w:r>
        <w:rPr>
          <w:rFonts w:ascii="Times New Roman" w:hAnsi="Times New Roman" w:eastAsia="楷体_GB2312"/>
          <w:bCs/>
          <w:sz w:val="24"/>
        </w:rPr>
        <w:t>系指“信托财产”扣除与“信托”相关的应由“信托财产”承担的全部费用和报酬后属于“资产支持证券持有人”享有的利益。</w:t>
      </w:r>
    </w:p>
    <w:p w14:paraId="0E5C4A9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信托受益权：</w:t>
      </w:r>
      <w:r>
        <w:rPr>
          <w:rFonts w:ascii="Times New Roman" w:hAnsi="Times New Roman" w:eastAsia="楷体_GB2312"/>
          <w:bCs/>
          <w:sz w:val="24"/>
        </w:rPr>
        <w:t>统指“优先级受益权”和“次级受益权”。</w:t>
      </w:r>
    </w:p>
    <w:p w14:paraId="05A5E15E">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优先级受益权：</w:t>
      </w:r>
      <w:r>
        <w:rPr>
          <w:rFonts w:ascii="Times New Roman" w:hAnsi="Times New Roman" w:eastAsia="楷体_GB2312"/>
          <w:bCs/>
          <w:sz w:val="24"/>
        </w:rPr>
        <w:t>系指由“优先级资产支持证券”所代表的优先于“次级受益权”从“信托”获得分配的权利，包括“优先A级受益权”和“优先B级受益权”。</w:t>
      </w:r>
    </w:p>
    <w:p w14:paraId="47C37F3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优先A级受益权：</w:t>
      </w:r>
      <w:r>
        <w:rPr>
          <w:rFonts w:ascii="Times New Roman" w:hAnsi="Times New Roman" w:eastAsia="楷体_GB2312"/>
          <w:bCs/>
          <w:sz w:val="24"/>
        </w:rPr>
        <w:t>系指由“优先A级资产支持证券”所代表的优先于“优先B级受益权”和“次级受益权”从“信托”获得分配的权利。</w:t>
      </w:r>
    </w:p>
    <w:p w14:paraId="31F3E69A">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优先B级受益权：</w:t>
      </w:r>
      <w:r>
        <w:rPr>
          <w:rFonts w:ascii="Times New Roman" w:hAnsi="Times New Roman" w:eastAsia="楷体_GB2312"/>
          <w:bCs/>
          <w:sz w:val="24"/>
        </w:rPr>
        <w:t>系指由“优先B级资产支持证券”所代表的劣后于“优先A级受益权”但优先于“次级受益权”从“信托”获得分配的权利。</w:t>
      </w:r>
    </w:p>
    <w:p w14:paraId="74E26D5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次级受益权：</w:t>
      </w:r>
      <w:r>
        <w:rPr>
          <w:rFonts w:ascii="Times New Roman" w:hAnsi="Times New Roman" w:eastAsia="楷体_GB2312"/>
          <w:bCs/>
          <w:sz w:val="24"/>
        </w:rPr>
        <w:t>系指由“次级资产支持证券”所代表的劣后于“优先级受益权”从“信托”获得分配的权利。</w:t>
      </w:r>
    </w:p>
    <w:p w14:paraId="2D88D8A7">
      <w:pPr>
        <w:tabs>
          <w:tab w:val="left" w:pos="851"/>
        </w:tabs>
        <w:spacing w:before="156" w:beforeLines="50" w:after="156" w:afterLines="50" w:line="360" w:lineRule="auto"/>
        <w:ind w:firstLine="723" w:firstLineChars="300"/>
        <w:rPr>
          <w:rFonts w:ascii="Times New Roman" w:hAnsi="Times New Roman" w:eastAsia="楷体_GB2312"/>
          <w:bCs/>
          <w:color w:val="FF0000"/>
          <w:sz w:val="24"/>
        </w:rPr>
      </w:pPr>
      <w:r>
        <w:rPr>
          <w:rFonts w:ascii="Times New Roman" w:hAnsi="Times New Roman" w:eastAsia="楷体_GB2312"/>
          <w:b/>
          <w:bCs/>
          <w:i/>
          <w:iCs/>
          <w:color w:val="FF0000"/>
          <w:sz w:val="24"/>
          <w:szCs w:val="28"/>
        </w:rPr>
        <w:t>【注：关于信托受益权的实际种类，可根据项目实际情况进行调整。】</w:t>
      </w:r>
    </w:p>
    <w:p w14:paraId="75EC4DDD">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资产支持证券：</w:t>
      </w:r>
      <w:r>
        <w:rPr>
          <w:rFonts w:ascii="Times New Roman" w:hAnsi="Times New Roman" w:eastAsia="楷体_GB2312"/>
          <w:bCs/>
          <w:sz w:val="24"/>
        </w:rPr>
        <w:t>指【资产支持证券名称】，包括“优先级资产支持证券”和“次级资产支持证券”。</w:t>
      </w:r>
    </w:p>
    <w:p w14:paraId="0574174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优先级资产支持证券：</w:t>
      </w:r>
      <w:r>
        <w:rPr>
          <w:rFonts w:ascii="Times New Roman" w:hAnsi="Times New Roman" w:eastAsia="楷体_GB2312"/>
          <w:bCs/>
          <w:sz w:val="24"/>
        </w:rPr>
        <w:t>系指代表“优先级受益权”的“资产支持证券”。“优先级资产支持证券”包括“优先A级资产支持证券”和“优先B级资产支持证券”。</w:t>
      </w:r>
    </w:p>
    <w:p w14:paraId="51AD487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优先A级资产支持证券：</w:t>
      </w:r>
      <w:r>
        <w:rPr>
          <w:rFonts w:ascii="Times New Roman" w:hAnsi="Times New Roman" w:eastAsia="楷体_GB2312"/>
          <w:bCs/>
          <w:sz w:val="24"/>
        </w:rPr>
        <w:t>系指以此命名的代表“优先A级受益权”的“资产支持证券”。</w:t>
      </w:r>
    </w:p>
    <w:p w14:paraId="7FC2095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优先B级资产支持证券：</w:t>
      </w:r>
      <w:r>
        <w:rPr>
          <w:rFonts w:ascii="Times New Roman" w:hAnsi="Times New Roman" w:eastAsia="楷体_GB2312"/>
          <w:bCs/>
          <w:sz w:val="24"/>
        </w:rPr>
        <w:t>系指以此命名的代表“优先B级受益权”的“资产支持证券”。</w:t>
      </w:r>
    </w:p>
    <w:p w14:paraId="51ED686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次级资产支持证券：</w:t>
      </w:r>
      <w:r>
        <w:rPr>
          <w:rFonts w:ascii="Times New Roman" w:hAnsi="Times New Roman" w:eastAsia="楷体_GB2312"/>
          <w:bCs/>
          <w:sz w:val="24"/>
        </w:rPr>
        <w:t>系指代表“次级受益权”的“资产支持证券”。</w:t>
      </w:r>
    </w:p>
    <w:p w14:paraId="1BCC40B8">
      <w:pPr>
        <w:tabs>
          <w:tab w:val="left" w:pos="851"/>
        </w:tabs>
        <w:spacing w:before="156" w:beforeLines="50" w:after="156" w:afterLines="50" w:line="360" w:lineRule="auto"/>
        <w:ind w:left="850" w:leftChars="405" w:firstLine="1"/>
        <w:rPr>
          <w:rFonts w:ascii="Times New Roman" w:hAnsi="Times New Roman" w:eastAsia="楷体_GB2312"/>
          <w:b/>
          <w:bCs/>
          <w:i/>
          <w:iCs/>
          <w:color w:val="FF0000"/>
          <w:sz w:val="24"/>
          <w:szCs w:val="28"/>
        </w:rPr>
      </w:pPr>
      <w:r>
        <w:rPr>
          <w:rFonts w:ascii="Times New Roman" w:hAnsi="Times New Roman" w:eastAsia="楷体_GB2312"/>
          <w:b/>
          <w:bCs/>
          <w:i/>
          <w:iCs/>
          <w:color w:val="FF0000"/>
          <w:sz w:val="24"/>
          <w:szCs w:val="28"/>
        </w:rPr>
        <w:t>【注：此处可根据资产支持证券分层情况细分。】</w:t>
      </w:r>
    </w:p>
    <w:p w14:paraId="05DB96E2">
      <w:pPr>
        <w:pStyle w:val="6"/>
        <w:spacing w:before="156" w:beforeLines="50" w:after="156" w:afterLines="50" w:line="360" w:lineRule="auto"/>
        <w:ind w:left="0" w:leftChars="0"/>
        <w:outlineLvl w:val="2"/>
        <w:rPr>
          <w:rFonts w:ascii="Times New Roman" w:hAnsi="Times New Roman" w:eastAsia="楷体_GB2312"/>
          <w:b/>
          <w:sz w:val="24"/>
        </w:rPr>
      </w:pPr>
      <w:bookmarkStart w:id="28" w:name="_Toc173860438"/>
      <w:r>
        <w:rPr>
          <w:rFonts w:ascii="Times New Roman" w:hAnsi="Times New Roman" w:eastAsia="楷体_GB2312"/>
          <w:b/>
          <w:sz w:val="24"/>
        </w:rPr>
        <w:t>4、信托账户</w:t>
      </w:r>
      <w:bookmarkEnd w:id="28"/>
    </w:p>
    <w:p w14:paraId="54380CE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信托账户：</w:t>
      </w:r>
      <w:r>
        <w:rPr>
          <w:rFonts w:ascii="Times New Roman" w:hAnsi="Times New Roman" w:eastAsia="楷体_GB2312"/>
          <w:bCs/>
          <w:sz w:val="24"/>
        </w:rPr>
        <w:t>系指“受托人”专门在“资金保管机构”为“信托”而开立的独立人民币银行结算账户，用于归集、存放货币形态的“信托财产”、向“资产支持证券持有人”支付相应的“信托利益”及支付其他相关费用的银行保管账户。账户名称为【      】，账号为【      】，开户银行为【      】。其下设“信托收款账户”、“信托付款账户”。</w:t>
      </w:r>
    </w:p>
    <w:p w14:paraId="0552F719">
      <w:pPr>
        <w:tabs>
          <w:tab w:val="left" w:pos="851"/>
        </w:tabs>
        <w:spacing w:before="156" w:beforeLines="50" w:after="156" w:afterLines="50" w:line="360" w:lineRule="auto"/>
        <w:ind w:left="840"/>
        <w:rPr>
          <w:rFonts w:ascii="Times New Roman" w:hAnsi="Times New Roman" w:eastAsia="楷体_GB2312"/>
          <w:b/>
          <w:bCs/>
          <w:i/>
          <w:iCs/>
          <w:color w:val="FF0000"/>
          <w:sz w:val="24"/>
          <w:szCs w:val="28"/>
        </w:rPr>
      </w:pPr>
      <w:r>
        <w:rPr>
          <w:rFonts w:ascii="Times New Roman" w:hAnsi="Times New Roman" w:eastAsia="楷体_GB2312"/>
          <w:b/>
          <w:bCs/>
          <w:i/>
          <w:iCs/>
          <w:color w:val="FF0000"/>
          <w:sz w:val="24"/>
          <w:szCs w:val="28"/>
        </w:rPr>
        <w:t>【注：可视项目实际情况予以简化或调整。】</w:t>
      </w:r>
    </w:p>
    <w:p w14:paraId="5ADE280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color w:val="000000" w:themeColor="text1"/>
          <w:sz w:val="24"/>
          <w14:textFill>
            <w14:solidFill>
              <w14:schemeClr w14:val="tx1"/>
            </w14:solidFill>
          </w14:textFill>
        </w:rPr>
      </w:pPr>
      <w:r>
        <w:rPr>
          <w:rFonts w:ascii="Times New Roman" w:hAnsi="Times New Roman" w:eastAsia="楷体_GB2312"/>
          <w:b/>
          <w:bCs/>
          <w:color w:val="000000" w:themeColor="text1"/>
          <w:sz w:val="24"/>
          <w14:textFill>
            <w14:solidFill>
              <w14:schemeClr w14:val="tx1"/>
            </w14:solidFill>
          </w14:textFill>
        </w:rPr>
        <w:t>信托收款账户：</w:t>
      </w:r>
      <w:r>
        <w:rPr>
          <w:rFonts w:ascii="Times New Roman" w:hAnsi="Times New Roman" w:eastAsia="楷体_GB2312"/>
          <w:color w:val="000000" w:themeColor="text1"/>
          <w:sz w:val="24"/>
          <w14:textFill>
            <w14:solidFill>
              <w14:schemeClr w14:val="tx1"/>
            </w14:solidFill>
          </w14:textFill>
        </w:rPr>
        <w:t>系指“信托账户”下设的一级分账户，用于接收“回收款”。</w:t>
      </w:r>
    </w:p>
    <w:p w14:paraId="17B1E23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color w:val="000000" w:themeColor="text1"/>
          <w:sz w:val="24"/>
          <w14:textFill>
            <w14:solidFill>
              <w14:schemeClr w14:val="tx1"/>
            </w14:solidFill>
          </w14:textFill>
        </w:rPr>
      </w:pPr>
      <w:r>
        <w:rPr>
          <w:rFonts w:ascii="Times New Roman" w:hAnsi="Times New Roman" w:eastAsia="楷体_GB2312"/>
          <w:b/>
          <w:bCs/>
          <w:color w:val="000000" w:themeColor="text1"/>
          <w:sz w:val="24"/>
          <w14:textFill>
            <w14:solidFill>
              <w14:schemeClr w14:val="tx1"/>
            </w14:solidFill>
          </w14:textFill>
        </w:rPr>
        <w:t>信托付款账户：</w:t>
      </w:r>
      <w:r>
        <w:rPr>
          <w:rFonts w:ascii="Times New Roman" w:hAnsi="Times New Roman" w:eastAsia="楷体_GB2312"/>
          <w:color w:val="000000" w:themeColor="text1"/>
          <w:sz w:val="24"/>
          <w14:textFill>
            <w14:solidFill>
              <w14:schemeClr w14:val="tx1"/>
            </w14:solidFill>
          </w14:textFill>
        </w:rPr>
        <w:t>系指“信托账户”下设的一级分账户，用于分配“回收款”。</w:t>
      </w:r>
    </w:p>
    <w:p w14:paraId="1E3F493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bCs/>
          <w:color w:val="000000" w:themeColor="text1"/>
          <w:sz w:val="24"/>
          <w14:textFill>
            <w14:solidFill>
              <w14:schemeClr w14:val="tx1"/>
            </w14:solidFill>
          </w14:textFill>
        </w:rPr>
        <w:t>信托（流动性）储备账户：</w:t>
      </w:r>
      <w:r>
        <w:rPr>
          <w:rFonts w:ascii="Times New Roman" w:hAnsi="Times New Roman" w:eastAsia="楷体_GB2312"/>
          <w:bCs/>
          <w:sz w:val="24"/>
        </w:rPr>
        <w:t>系指“信托账户”下设立的，用于弥补“《信托合同》”第【11.5.1】款项下特定款项的不足金额的子账户。</w:t>
      </w:r>
    </w:p>
    <w:p w14:paraId="7CE9A86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收入分</w:t>
      </w:r>
      <w:r>
        <w:rPr>
          <w:rFonts w:ascii="Times New Roman" w:hAnsi="Times New Roman" w:eastAsia="楷体_GB2312"/>
          <w:b/>
          <w:bCs/>
          <w:color w:val="000000" w:themeColor="text1"/>
          <w:sz w:val="24"/>
          <w14:textFill>
            <w14:solidFill>
              <w14:schemeClr w14:val="tx1"/>
            </w14:solidFill>
          </w14:textFill>
        </w:rPr>
        <w:t>账</w:t>
      </w:r>
      <w:r>
        <w:rPr>
          <w:rFonts w:ascii="Times New Roman" w:hAnsi="Times New Roman" w:eastAsia="楷体_GB2312"/>
          <w:b/>
          <w:sz w:val="24"/>
        </w:rPr>
        <w:t>户：</w:t>
      </w:r>
      <w:r>
        <w:rPr>
          <w:rFonts w:ascii="Times New Roman" w:hAnsi="Times New Roman" w:eastAsia="楷体_GB2312"/>
          <w:bCs/>
          <w:sz w:val="24"/>
        </w:rPr>
        <w:t>系指“信托账户”下设的用于管理和记录“收入回收款”的分账户。</w:t>
      </w:r>
    </w:p>
    <w:p w14:paraId="2AEDC82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本金分</w:t>
      </w:r>
      <w:r>
        <w:rPr>
          <w:rFonts w:ascii="Times New Roman" w:hAnsi="Times New Roman" w:eastAsia="楷体_GB2312"/>
          <w:b/>
          <w:bCs/>
          <w:color w:val="000000" w:themeColor="text1"/>
          <w:sz w:val="24"/>
          <w14:textFill>
            <w14:solidFill>
              <w14:schemeClr w14:val="tx1"/>
            </w14:solidFill>
          </w14:textFill>
        </w:rPr>
        <w:t>账</w:t>
      </w:r>
      <w:r>
        <w:rPr>
          <w:rFonts w:ascii="Times New Roman" w:hAnsi="Times New Roman" w:eastAsia="楷体_GB2312"/>
          <w:b/>
          <w:sz w:val="24"/>
        </w:rPr>
        <w:t>户：</w:t>
      </w:r>
      <w:r>
        <w:rPr>
          <w:rFonts w:ascii="Times New Roman" w:hAnsi="Times New Roman" w:eastAsia="楷体_GB2312"/>
          <w:bCs/>
          <w:sz w:val="24"/>
        </w:rPr>
        <w:t>系指“信托账户”下设的用于管理和记录“本金回收款”的分账户。</w:t>
      </w:r>
    </w:p>
    <w:p w14:paraId="7F23CF6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信托分配（税收）账户：</w:t>
      </w:r>
      <w:r>
        <w:rPr>
          <w:rFonts w:ascii="Times New Roman" w:hAnsi="Times New Roman" w:eastAsia="楷体_GB2312"/>
          <w:bCs/>
          <w:sz w:val="24"/>
        </w:rPr>
        <w:t>系指“信托付款账户”中的一个子账户，该账户中的余额将用于支付信托税赋的资金。</w:t>
      </w:r>
    </w:p>
    <w:p w14:paraId="1BD7FFA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信托分配（费用和开支）账户：</w:t>
      </w:r>
      <w:r>
        <w:rPr>
          <w:rFonts w:ascii="Times New Roman" w:hAnsi="Times New Roman" w:eastAsia="楷体_GB2312"/>
          <w:bCs/>
          <w:sz w:val="24"/>
        </w:rPr>
        <w:t>系指“信托付款账户”中的一个子账户，该账户中的余额将用于支付信托费用和开支。</w:t>
      </w:r>
    </w:p>
    <w:p w14:paraId="487778B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信托分配（证券）账户：</w:t>
      </w:r>
      <w:r>
        <w:rPr>
          <w:rFonts w:ascii="Times New Roman" w:hAnsi="Times New Roman" w:eastAsia="楷体_GB2312"/>
          <w:bCs/>
          <w:sz w:val="24"/>
        </w:rPr>
        <w:t>系指“信托付款账户”中的一个子账户，该账户中的余额将用于支付“资产支持证券”的到期本息金额。</w:t>
      </w:r>
    </w:p>
    <w:p w14:paraId="2A5EF686">
      <w:pPr>
        <w:pStyle w:val="6"/>
        <w:numPr>
          <w:ilvl w:val="0"/>
          <w:numId w:val="4"/>
        </w:numPr>
        <w:spacing w:before="156" w:beforeLines="50" w:after="156" w:afterLines="50" w:line="360" w:lineRule="auto"/>
        <w:ind w:leftChars="0"/>
        <w:outlineLvl w:val="1"/>
        <w:rPr>
          <w:rFonts w:ascii="Times New Roman" w:hAnsi="Times New Roman" w:eastAsia="楷体_GB2312"/>
          <w:b/>
          <w:sz w:val="24"/>
        </w:rPr>
      </w:pPr>
      <w:bookmarkStart w:id="29" w:name="_Toc173860439"/>
      <w:r>
        <w:rPr>
          <w:rFonts w:ascii="Times New Roman" w:hAnsi="Times New Roman" w:eastAsia="楷体_GB2312"/>
          <w:b/>
          <w:sz w:val="24"/>
        </w:rPr>
        <w:t>日期、期间</w:t>
      </w:r>
      <w:bookmarkEnd w:id="29"/>
      <w:r>
        <w:rPr>
          <w:rFonts w:ascii="Times New Roman" w:hAnsi="Times New Roman" w:eastAsia="楷体_GB2312"/>
          <w:b/>
          <w:sz w:val="24"/>
        </w:rPr>
        <w:t>与报告</w:t>
      </w:r>
    </w:p>
    <w:p w14:paraId="182437B1">
      <w:pPr>
        <w:pStyle w:val="6"/>
        <w:spacing w:before="156" w:beforeLines="50" w:after="156" w:afterLines="50" w:line="360" w:lineRule="auto"/>
        <w:ind w:left="0" w:leftChars="0"/>
        <w:outlineLvl w:val="1"/>
        <w:rPr>
          <w:rFonts w:ascii="Times New Roman" w:hAnsi="Times New Roman" w:eastAsia="楷体_GB2312"/>
          <w:b/>
          <w:sz w:val="24"/>
        </w:rPr>
      </w:pPr>
      <w:r>
        <w:rPr>
          <w:rFonts w:eastAsia="楷体_GB2312"/>
          <w:b/>
          <w:bCs/>
          <w:i/>
          <w:iCs/>
          <w:color w:val="FF0000"/>
          <w:sz w:val="24"/>
        </w:rPr>
        <w:t>【注：具体日期等安排可视项目实际情况予以调整或增减。】</w:t>
      </w:r>
    </w:p>
    <w:p w14:paraId="40793FF1">
      <w:pPr>
        <w:pStyle w:val="6"/>
        <w:spacing w:before="156" w:beforeLines="50" w:after="156" w:afterLines="50" w:line="360" w:lineRule="auto"/>
        <w:ind w:left="0" w:leftChars="0"/>
        <w:outlineLvl w:val="1"/>
        <w:rPr>
          <w:rFonts w:ascii="Times New Roman" w:hAnsi="Times New Roman" w:eastAsia="楷体_GB2312"/>
          <w:b/>
          <w:sz w:val="24"/>
        </w:rPr>
      </w:pPr>
      <w:r>
        <w:rPr>
          <w:rFonts w:ascii="Times New Roman" w:hAnsi="Times New Roman" w:eastAsia="楷体_GB2312"/>
          <w:b/>
          <w:sz w:val="24"/>
        </w:rPr>
        <w:t>1、日期类</w:t>
      </w:r>
    </w:p>
    <w:p w14:paraId="0696D4B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初始起算日：</w:t>
      </w:r>
      <w:r>
        <w:rPr>
          <w:rFonts w:ascii="Times New Roman" w:hAnsi="Times New Roman" w:eastAsia="楷体_GB2312"/>
          <w:bCs/>
          <w:sz w:val="24"/>
        </w:rPr>
        <w:t>系指【】年【】月【】日</w:t>
      </w:r>
      <w:r>
        <w:rPr>
          <w:rFonts w:ascii="Times New Roman" w:hAnsi="Times New Roman" w:eastAsia="楷体_GB2312"/>
          <w:i/>
          <w:iCs/>
          <w:color w:val="000000"/>
          <w:sz w:val="24"/>
        </w:rPr>
        <w:t>【</w:t>
      </w:r>
      <w:r>
        <w:rPr>
          <w:rFonts w:ascii="Times New Roman" w:hAnsi="Times New Roman" w:eastAsia="楷体_GB2312"/>
          <w:i/>
          <w:iCs/>
          <w:sz w:val="24"/>
        </w:rPr>
        <w:t>具体时点】</w:t>
      </w:r>
      <w:r>
        <w:rPr>
          <w:rFonts w:ascii="Times New Roman" w:hAnsi="Times New Roman" w:eastAsia="楷体_GB2312"/>
          <w:bCs/>
          <w:sz w:val="24"/>
        </w:rPr>
        <w:t>。</w:t>
      </w:r>
    </w:p>
    <w:p w14:paraId="636A89D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缴款截止日：</w:t>
      </w:r>
      <w:r>
        <w:rPr>
          <w:rFonts w:ascii="Times New Roman" w:hAnsi="Times New Roman" w:eastAsia="楷体_GB2312"/>
          <w:bCs/>
          <w:sz w:val="24"/>
        </w:rPr>
        <w:t>系指各“承销团成员”将各自所获配售额度对应的募集款项全额划至“牵头主承销商”指定的银行账户的</w:t>
      </w:r>
      <w:r>
        <w:rPr>
          <w:rFonts w:ascii="Times New Roman" w:hAnsi="Times New Roman" w:eastAsia="楷体_GB2312"/>
          <w:color w:val="000000" w:themeColor="text1"/>
          <w:sz w:val="24"/>
          <w14:textFill>
            <w14:solidFill>
              <w14:schemeClr w14:val="tx1"/>
            </w14:solidFill>
          </w14:textFill>
        </w:rPr>
        <w:t>截止日期</w:t>
      </w:r>
      <w:r>
        <w:rPr>
          <w:rFonts w:ascii="Times New Roman" w:hAnsi="Times New Roman" w:eastAsia="楷体_GB2312"/>
          <w:bCs/>
          <w:sz w:val="24"/>
        </w:rPr>
        <w:t>。具体日期以发行公告所载日期为准。</w:t>
      </w:r>
    </w:p>
    <w:p w14:paraId="093669B4">
      <w:pPr>
        <w:tabs>
          <w:tab w:val="left" w:pos="425"/>
          <w:tab w:val="left" w:pos="851"/>
          <w:tab w:val="left" w:pos="1145"/>
        </w:tabs>
        <w:spacing w:before="156" w:beforeLines="50" w:after="156" w:afterLines="50"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【注：如为招标发行，则相应调整发行相关的定义与表述。】</w:t>
      </w:r>
    </w:p>
    <w:p w14:paraId="0781D026">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信托财产交付日：</w:t>
      </w:r>
      <w:r>
        <w:rPr>
          <w:rFonts w:ascii="Times New Roman" w:hAnsi="Times New Roman" w:eastAsia="楷体_GB2312"/>
          <w:bCs/>
          <w:sz w:val="24"/>
        </w:rPr>
        <w:t>“信托财产交付日”为“缴款截止日”的次一“工作日”。</w:t>
      </w:r>
    </w:p>
    <w:p w14:paraId="1A1AE64C">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信托设立日/信托生效日：</w:t>
      </w:r>
      <w:r>
        <w:rPr>
          <w:rFonts w:ascii="Times New Roman" w:hAnsi="Times New Roman" w:eastAsia="楷体_GB2312"/>
          <w:bCs/>
          <w:sz w:val="24"/>
        </w:rPr>
        <w:t>系指“《信托合同》”第【3.8】款约定的条件均满足（或被有权方放弃）时“信托”设立并生效之日。在本“信托”中，“信托设立日”与“信托财产交付日”为同一日。</w:t>
      </w:r>
    </w:p>
    <w:p w14:paraId="1501B6B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计算日：</w:t>
      </w:r>
      <w:r>
        <w:rPr>
          <w:rFonts w:ascii="Times New Roman" w:hAnsi="Times New Roman" w:eastAsia="楷体_GB2312"/>
          <w:bCs/>
          <w:sz w:val="24"/>
        </w:rPr>
        <w:t>系指每个自然月的第【】日，其中，第一个计算日将为【】年【】月【】日。</w:t>
      </w:r>
    </w:p>
    <w:p w14:paraId="7DCA9045">
      <w:pPr>
        <w:tabs>
          <w:tab w:val="left" w:pos="425"/>
          <w:tab w:val="left" w:pos="851"/>
          <w:tab w:val="left" w:pos="1145"/>
        </w:tabs>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【注：计算日可根据项目具体安排进行调整。】</w:t>
      </w:r>
    </w:p>
    <w:p w14:paraId="5F0D9D7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回收款转付日：</w:t>
      </w:r>
      <w:r>
        <w:rPr>
          <w:rFonts w:ascii="Times New Roman" w:hAnsi="Times New Roman" w:eastAsia="楷体_GB2312"/>
          <w:bCs/>
          <w:sz w:val="24"/>
        </w:rPr>
        <w:t>“回收款转付日”按照如下规则确定：</w:t>
      </w:r>
    </w:p>
    <w:p w14:paraId="285E44AF">
      <w:pPr>
        <w:numPr>
          <w:ilvl w:val="0"/>
          <w:numId w:val="10"/>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当“评级机构”中任一家给予“贷款服务机构”的主体长期信用等级均高于或等于【】级时，“回收款转付日”为每个“计算日”后的第【】个“工作日”；</w:t>
      </w:r>
    </w:p>
    <w:p w14:paraId="437DA35F">
      <w:pPr>
        <w:numPr>
          <w:ilvl w:val="0"/>
          <w:numId w:val="10"/>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当“评级机构”中任一家给予“贷款服务机构”的主体长期信用等级低于【】级时，“委托人”或“受托人”将根据“《信托合同》”的</w:t>
      </w:r>
      <w:r>
        <w:rPr>
          <w:rFonts w:hint="eastAsia" w:ascii="Times New Roman" w:hAnsi="Times New Roman" w:eastAsia="楷体_GB2312"/>
          <w:sz w:val="24"/>
          <w:szCs w:val="28"/>
        </w:rPr>
        <w:t>约定</w:t>
      </w:r>
      <w:r>
        <w:rPr>
          <w:rFonts w:ascii="Times New Roman" w:hAnsi="Times New Roman" w:eastAsia="楷体_GB2312"/>
          <w:sz w:val="24"/>
          <w:szCs w:val="28"/>
        </w:rPr>
        <w:t>通知“借款人”、担保人（如有）将其应支付的款项支付至“信托账户”。</w:t>
      </w:r>
    </w:p>
    <w:p w14:paraId="45F15D63">
      <w:pPr>
        <w:numPr>
          <w:ilvl w:val="0"/>
          <w:numId w:val="10"/>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信托终止日”后，“回收款转付日”为“信托终止日”后【】个“工作日”内的任一“工作日”；在“信托终止日”后，“贷款服务机构”还收到“回收款”的，则“回收款转付日”为“贷款服务机构”收到每笔“回收款”后【】个“工作日”内的任一“工作日”。</w:t>
      </w:r>
    </w:p>
    <w:p w14:paraId="57986BB1">
      <w:pPr>
        <w:spacing w:before="156" w:beforeLines="50" w:after="156" w:afterLines="50" w:line="360" w:lineRule="auto"/>
        <w:ind w:left="850" w:leftChars="405"/>
        <w:rPr>
          <w:rFonts w:ascii="Times New Roman" w:hAnsi="Times New Roman" w:eastAsia="楷体_GB2312"/>
          <w:sz w:val="24"/>
          <w:szCs w:val="28"/>
        </w:rPr>
      </w:pPr>
      <w:r>
        <w:rPr>
          <w:rFonts w:ascii="Times New Roman" w:hAnsi="Times New Roman" w:eastAsia="楷体_GB2312"/>
          <w:sz w:val="24"/>
          <w:szCs w:val="28"/>
        </w:rPr>
        <w:t>如果“评级机构”中任一家给予“贷款服务机构”的主体长期信用等级在某一“回收款转付期间”内发生变化且因此需要改变“回收款转付日”时，自该“回收款转付期间”届满之日起，相关“回收款转付日”按照前述规则进行相应的改变。“回收款转付日”发生上述改变之后，即使“贷款服务机构”的主体长期信用等级重新提高，“回收款转付日”的频率也不再恢复。</w:t>
      </w:r>
    </w:p>
    <w:p w14:paraId="0D683F25">
      <w:pPr>
        <w:tabs>
          <w:tab w:val="left" w:pos="851"/>
        </w:tabs>
        <w:spacing w:before="156" w:beforeLines="50" w:after="156" w:afterLines="50" w:line="360" w:lineRule="auto"/>
        <w:ind w:left="840" w:leftChars="400"/>
        <w:rPr>
          <w:rFonts w:eastAsia="楷体_GB2312"/>
          <w:color w:val="000000" w:themeColor="text1"/>
          <w:sz w:val="24"/>
          <w14:textFill>
            <w14:solidFill>
              <w14:schemeClr w14:val="tx1"/>
            </w14:solidFill>
          </w14:textFill>
        </w:rPr>
      </w:pPr>
      <w:r>
        <w:rPr>
          <w:rFonts w:eastAsia="楷体_GB2312"/>
          <w:b/>
          <w:bCs/>
          <w:i/>
          <w:iCs/>
          <w:color w:val="FF0000"/>
          <w:sz w:val="24"/>
        </w:rPr>
        <w:t>【注：</w:t>
      </w:r>
      <w:r>
        <w:rPr>
          <w:rFonts w:hint="eastAsia" w:eastAsia="楷体_GB2312"/>
          <w:b/>
          <w:bCs/>
          <w:i/>
          <w:iCs/>
          <w:color w:val="FF0000"/>
          <w:sz w:val="24"/>
        </w:rPr>
        <w:t>回收款</w:t>
      </w:r>
      <w:r>
        <w:rPr>
          <w:rFonts w:eastAsia="楷体_GB2312"/>
          <w:b/>
          <w:bCs/>
          <w:i/>
          <w:iCs/>
          <w:color w:val="FF0000"/>
          <w:sz w:val="24"/>
        </w:rPr>
        <w:t>转付日根据项目具体安排进行调整。】</w:t>
      </w:r>
    </w:p>
    <w:p w14:paraId="734B19B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服务机构报告日：</w:t>
      </w:r>
      <w:r>
        <w:rPr>
          <w:rFonts w:ascii="Times New Roman" w:hAnsi="Times New Roman" w:eastAsia="楷体_GB2312"/>
          <w:bCs/>
          <w:sz w:val="24"/>
        </w:rPr>
        <w:t>系指“贷款服务机构”按照“《服务合同》”的约定向“受托人”出具“</w:t>
      </w:r>
      <w:r>
        <w:rPr>
          <w:rFonts w:hint="eastAsia" w:ascii="Times New Roman" w:hAnsi="Times New Roman" w:eastAsia="楷体_GB2312"/>
          <w:bCs/>
          <w:sz w:val="24"/>
        </w:rPr>
        <w:t>贷款</w:t>
      </w:r>
      <w:r>
        <w:rPr>
          <w:rFonts w:ascii="Times New Roman" w:hAnsi="Times New Roman" w:eastAsia="楷体_GB2312"/>
          <w:bCs/>
          <w:sz w:val="24"/>
        </w:rPr>
        <w:t>服务机构月度报告”之日，即每个“计算日”后的第【】个“工作日”。</w:t>
      </w:r>
    </w:p>
    <w:p w14:paraId="2327B42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资金保管机构报告日：</w:t>
      </w:r>
      <w:r>
        <w:rPr>
          <w:rFonts w:ascii="Times New Roman" w:hAnsi="Times New Roman" w:eastAsia="楷体_GB2312"/>
          <w:bCs/>
          <w:sz w:val="24"/>
        </w:rPr>
        <w:t>系指“资金保管机构”按照“《资金保管合同》”的约定向“受托人”出具“资金保管机构月度报告”之日，即每个“计算日”后的第【】个“工作日”。</w:t>
      </w:r>
    </w:p>
    <w:p w14:paraId="4536976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分配指令发送日：</w:t>
      </w:r>
      <w:r>
        <w:rPr>
          <w:rFonts w:ascii="Times New Roman" w:hAnsi="Times New Roman" w:eastAsia="楷体_GB2312"/>
          <w:bCs/>
          <w:sz w:val="24"/>
        </w:rPr>
        <w:t>系指“受托人”向“资金保管机构”发送“信托账户”“分配指令”之日，即每个“支付日”前的第【】个“工作日”。</w:t>
      </w:r>
    </w:p>
    <w:p w14:paraId="5A5A36F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信托分配日：</w:t>
      </w:r>
      <w:r>
        <w:rPr>
          <w:rFonts w:ascii="Times New Roman" w:hAnsi="Times New Roman" w:eastAsia="楷体_GB2312"/>
          <w:bCs/>
          <w:sz w:val="24"/>
        </w:rPr>
        <w:t>系“资金保管机构”按照“受托人”发送的“分配指令”对“信托账户”内资金进行分配之日，即每个“支付日”前的第【】个“工作日”。</w:t>
      </w:r>
    </w:p>
    <w:p w14:paraId="51FB433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bookmarkStart w:id="30" w:name="_Hlk169005178"/>
      <w:r>
        <w:rPr>
          <w:rFonts w:ascii="Times New Roman" w:hAnsi="Times New Roman" w:eastAsia="楷体_GB2312"/>
          <w:b/>
          <w:sz w:val="24"/>
        </w:rPr>
        <w:t>持续购买基准日</w:t>
      </w:r>
      <w:bookmarkEnd w:id="30"/>
      <w:r>
        <w:rPr>
          <w:rFonts w:ascii="Times New Roman" w:hAnsi="Times New Roman" w:eastAsia="楷体_GB2312"/>
          <w:b/>
          <w:sz w:val="24"/>
        </w:rPr>
        <w:t>：</w:t>
      </w:r>
      <w:r>
        <w:rPr>
          <w:rFonts w:ascii="Times New Roman" w:hAnsi="Times New Roman" w:eastAsia="楷体_GB2312"/>
          <w:bCs/>
          <w:sz w:val="24"/>
        </w:rPr>
        <w:t>系指“持续购买期”内，“信托生效日”每满</w:t>
      </w:r>
      <w:r>
        <w:rPr>
          <w:rFonts w:hint="eastAsia" w:ascii="Times New Roman" w:hAnsi="Times New Roman" w:eastAsia="楷体_GB2312"/>
          <w:bCs/>
          <w:sz w:val="24"/>
        </w:rPr>
        <w:t>【】</w:t>
      </w:r>
      <w:r>
        <w:rPr>
          <w:rFonts w:ascii="Times New Roman" w:hAnsi="Times New Roman" w:eastAsia="楷体_GB2312"/>
          <w:bCs/>
          <w:sz w:val="24"/>
        </w:rPr>
        <w:t>个月所在公历月的最后一日后的第【】个“工作日”</w:t>
      </w:r>
      <w:r>
        <w:rPr>
          <w:rFonts w:ascii="Times New Roman" w:hAnsi="Times New Roman" w:eastAsia="楷体_GB2312"/>
          <w:bCs/>
          <w:i/>
          <w:iCs/>
          <w:sz w:val="24"/>
        </w:rPr>
        <w:t>【具体时间】</w:t>
      </w:r>
      <w:r>
        <w:rPr>
          <w:rFonts w:ascii="Times New Roman" w:hAnsi="Times New Roman" w:eastAsia="楷体_GB2312"/>
          <w:bCs/>
          <w:sz w:val="24"/>
        </w:rPr>
        <w:t>；特别的，第一个“持续购买基准日”为【】年【】月【】日。</w:t>
      </w:r>
    </w:p>
    <w:p w14:paraId="2F4EC2F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持续购买日：</w:t>
      </w:r>
      <w:r>
        <w:rPr>
          <w:rFonts w:ascii="Times New Roman" w:hAnsi="Times New Roman" w:eastAsia="楷体_GB2312"/>
          <w:bCs/>
          <w:sz w:val="24"/>
        </w:rPr>
        <w:t>系指“受托人”以“回收款”向“发起机构”持续购买新增“资产”之日，该日应不晚于每个“持续购买基准日”所在“收款期间”内“支付日”之前第【】个“工作日”。</w:t>
      </w:r>
    </w:p>
    <w:p w14:paraId="7B9A4EBA">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持续购买终止日：</w:t>
      </w:r>
      <w:bookmarkStart w:id="31" w:name="_Hlk191299818"/>
      <w:r>
        <w:rPr>
          <w:rFonts w:ascii="Times New Roman" w:hAnsi="Times New Roman" w:eastAsia="楷体_GB2312"/>
          <w:bCs/>
          <w:sz w:val="24"/>
        </w:rPr>
        <w:t>系指以下较早日期：（a）“信托生效日”所在公历月对应的下一个公历月的第【】日；（b）“加速清偿事件”发生之日；（c）“违约事件”发生之日；（d）“提前摊还事件”发生之日。</w:t>
      </w:r>
      <w:bookmarkEnd w:id="31"/>
    </w:p>
    <w:p w14:paraId="69CB1CF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受托机构报告日：</w:t>
      </w:r>
      <w:r>
        <w:rPr>
          <w:rFonts w:ascii="Times New Roman" w:hAnsi="Times New Roman" w:eastAsia="楷体_GB2312"/>
          <w:bCs/>
          <w:sz w:val="24"/>
        </w:rPr>
        <w:t>系指“受托人”按“《信托合同》”的约定向“资产支持证券持有人”披露月度“受托机构月度报告”之日，即每个“支付日”前的第【】个“工作日”。</w:t>
      </w:r>
    </w:p>
    <w:p w14:paraId="3023496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计息日：</w:t>
      </w:r>
      <w:r>
        <w:rPr>
          <w:rFonts w:ascii="Times New Roman" w:hAnsi="Times New Roman" w:eastAsia="楷体_GB2312"/>
          <w:bCs/>
          <w:sz w:val="24"/>
        </w:rPr>
        <w:t>系指每个自然月的第【】日（第一个“计息日”为【】年【】月【】日）。但每一类别“资产支持证券”的最后一个“计息日”为该类别“资产支持证券”的本金支付完毕之日。</w:t>
      </w:r>
    </w:p>
    <w:p w14:paraId="54C40986">
      <w:pPr>
        <w:tabs>
          <w:tab w:val="left" w:pos="425"/>
          <w:tab w:val="left" w:pos="720"/>
          <w:tab w:val="left" w:pos="851"/>
          <w:tab w:val="left" w:pos="1145"/>
        </w:tabs>
        <w:spacing w:before="156" w:beforeLines="50" w:after="156" w:afterLines="50" w:line="360" w:lineRule="auto"/>
        <w:ind w:left="851"/>
        <w:rPr>
          <w:rFonts w:ascii="Times New Roman" w:hAnsi="Times New Roman" w:eastAsia="楷体_GB2312"/>
          <w:bCs/>
          <w:sz w:val="24"/>
        </w:rPr>
      </w:pPr>
      <w:r>
        <w:rPr>
          <w:rFonts w:ascii="Times New Roman" w:hAnsi="Times New Roman" w:eastAsia="楷体_GB2312"/>
          <w:b/>
          <w:bCs/>
          <w:i/>
          <w:iCs/>
          <w:color w:val="FF0000"/>
          <w:sz w:val="24"/>
        </w:rPr>
        <w:t>【注：如信托终止或信托清算时根据交易文件约定而对计息日进行特殊安排的，则可予以补充相关约定。】</w:t>
      </w:r>
    </w:p>
    <w:p w14:paraId="7FAE455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支付日：</w:t>
      </w:r>
      <w:r>
        <w:rPr>
          <w:rFonts w:ascii="Times New Roman" w:hAnsi="Times New Roman" w:eastAsia="楷体_GB2312"/>
          <w:bCs/>
          <w:sz w:val="24"/>
        </w:rPr>
        <w:t>系指每个自然月的第【】日（第一个“支付日”应为【】年【】月【】日）。但如果该日不是“工作日”，则为该日后的第一个“工作日”。</w:t>
      </w:r>
    </w:p>
    <w:p w14:paraId="5BA7683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回购起算日：</w:t>
      </w:r>
      <w:r>
        <w:rPr>
          <w:rFonts w:ascii="Times New Roman" w:hAnsi="Times New Roman" w:eastAsia="楷体_GB2312"/>
          <w:bCs/>
          <w:sz w:val="24"/>
        </w:rPr>
        <w:t>就“《信托合同》”约定的“资产”的“赎回”而言，“回购起算日”系指“受托人”提出“赎回”相应“资产”要求的下一个“收款期间”的第一日。就“《信托合同》”约定的“清仓回购”而言，“回购起算日”系指“委托人”向“受托人”发出收购通知的那个“收款期间”的第一日。</w:t>
      </w:r>
    </w:p>
    <w:p w14:paraId="4055A34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资金保管机构结息日：</w:t>
      </w:r>
      <w:r>
        <w:rPr>
          <w:rFonts w:ascii="Times New Roman" w:hAnsi="Times New Roman" w:eastAsia="楷体_GB2312"/>
          <w:bCs/>
          <w:sz w:val="24"/>
        </w:rPr>
        <w:t>系指“资金保管机构”按季度对“信托账户”进行结息之日，即每季度最后一个月的</w:t>
      </w:r>
      <w:r>
        <w:rPr>
          <w:rFonts w:hint="eastAsia" w:ascii="Times New Roman" w:hAnsi="Times New Roman" w:eastAsia="楷体_GB2312"/>
          <w:bCs/>
          <w:sz w:val="24"/>
        </w:rPr>
        <w:t>【】</w:t>
      </w:r>
      <w:r>
        <w:rPr>
          <w:rFonts w:ascii="Times New Roman" w:hAnsi="Times New Roman" w:eastAsia="楷体_GB2312"/>
          <w:bCs/>
          <w:sz w:val="24"/>
        </w:rPr>
        <w:t>日。</w:t>
      </w:r>
    </w:p>
    <w:p w14:paraId="3065B57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预期到期日：</w:t>
      </w:r>
      <w:r>
        <w:rPr>
          <w:rFonts w:ascii="Times New Roman" w:hAnsi="Times New Roman" w:eastAsia="楷体_GB2312"/>
          <w:bCs/>
          <w:sz w:val="24"/>
        </w:rPr>
        <w:t>对“优先A级资产支持证券”而言，系指【】年【】月【】日；对“优先B级资产支持证券”而言，系指【】年【】月【】日；对“次级资产支持证券”而言，系指【】年【】月【】日。“预期到期日”不是各档“资产支持证券”的实际到期日，各档“资产支持证券”的实际到期日可能早于或晚于“预期到期日”。</w:t>
      </w:r>
    </w:p>
    <w:p w14:paraId="48EF1B1A">
      <w:pPr>
        <w:tabs>
          <w:tab w:val="left" w:pos="425"/>
          <w:tab w:val="left" w:pos="720"/>
          <w:tab w:val="left" w:pos="851"/>
          <w:tab w:val="left" w:pos="1145"/>
        </w:tabs>
        <w:spacing w:before="156" w:beforeLines="50" w:after="156" w:afterLines="50" w:line="360" w:lineRule="auto"/>
        <w:ind w:left="851"/>
        <w:rPr>
          <w:rFonts w:eastAsia="楷体_GB2312"/>
          <w:b/>
          <w:bCs/>
          <w:i/>
          <w:iCs/>
          <w:color w:val="FF0000"/>
          <w:sz w:val="24"/>
        </w:rPr>
      </w:pPr>
      <w:r>
        <w:rPr>
          <w:rFonts w:eastAsia="楷体_GB2312"/>
          <w:b/>
          <w:bCs/>
          <w:i/>
          <w:iCs/>
          <w:color w:val="FF0000"/>
          <w:sz w:val="24"/>
        </w:rPr>
        <w:t>【注：预期到期日的定义可根据项目资产支持证券分层结果细分调整。】</w:t>
      </w:r>
    </w:p>
    <w:p w14:paraId="17EF86D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法定到期日：</w:t>
      </w:r>
      <w:r>
        <w:rPr>
          <w:rFonts w:ascii="Times New Roman" w:hAnsi="Times New Roman" w:eastAsia="楷体_GB2312"/>
          <w:bCs/>
          <w:sz w:val="24"/>
        </w:rPr>
        <w:t>系指【】年【】月【】日。</w:t>
      </w:r>
    </w:p>
    <w:p w14:paraId="5B15C4FE">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信托终止日：</w:t>
      </w:r>
      <w:r>
        <w:rPr>
          <w:rFonts w:ascii="Times New Roman" w:hAnsi="Times New Roman" w:eastAsia="楷体_GB2312"/>
          <w:bCs/>
          <w:sz w:val="24"/>
        </w:rPr>
        <w:t>系指下列任一情形发生之日：</w:t>
      </w:r>
    </w:p>
    <w:p w14:paraId="6D333603">
      <w:pPr>
        <w:numPr>
          <w:ilvl w:val="0"/>
          <w:numId w:val="1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“信托”之信托目的已经无法实现；</w:t>
      </w:r>
    </w:p>
    <w:p w14:paraId="60AC06F3">
      <w:pPr>
        <w:numPr>
          <w:ilvl w:val="0"/>
          <w:numId w:val="1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“信托”被法院或仲裁机构依法撤销、被认定为无效或被判决终止；</w:t>
      </w:r>
    </w:p>
    <w:p w14:paraId="42938DD7">
      <w:pPr>
        <w:numPr>
          <w:ilvl w:val="0"/>
          <w:numId w:val="1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“监管部门”依法命令终止“信托”；</w:t>
      </w:r>
    </w:p>
    <w:p w14:paraId="31B54AB9">
      <w:pPr>
        <w:numPr>
          <w:ilvl w:val="0"/>
          <w:numId w:val="1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“资产支持证券持有人大会”决议提前终止“信托”；</w:t>
      </w:r>
    </w:p>
    <w:p w14:paraId="130057FA">
      <w:pPr>
        <w:numPr>
          <w:ilvl w:val="0"/>
          <w:numId w:val="1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“法定到期日”届至；</w:t>
      </w:r>
    </w:p>
    <w:p w14:paraId="0F3BD137">
      <w:pPr>
        <w:numPr>
          <w:ilvl w:val="0"/>
          <w:numId w:val="11"/>
        </w:numPr>
        <w:spacing w:before="156" w:beforeLines="50" w:after="156" w:afterLines="50" w:line="360" w:lineRule="auto"/>
        <w:ind w:left="1274" w:leftChars="405" w:hanging="424" w:hangingChars="177"/>
        <w:rPr>
          <w:rFonts w:ascii="Times New Roman" w:hAnsi="Times New Roman" w:eastAsia="楷体_GB2312"/>
          <w:sz w:val="24"/>
          <w:szCs w:val="28"/>
        </w:rPr>
      </w:pPr>
      <w:bookmarkStart w:id="32" w:name="_Ref152752033"/>
      <w:r>
        <w:rPr>
          <w:rFonts w:ascii="Times New Roman" w:hAnsi="Times New Roman" w:eastAsia="楷体_GB2312"/>
          <w:sz w:val="24"/>
          <w:szCs w:val="28"/>
        </w:rPr>
        <w:t>全部“优先级资产支持证券”本息全部偿付完毕后，如届时“贷款服务机构”同时为“次级资产支持证券持有人”，全部“次级资产支持证券持有人”书面一致同意终止“信托”且就剩余全部“信托财产”的原状分配或整体处置达成书面一致意见；</w:t>
      </w:r>
      <w:bookmarkEnd w:id="32"/>
    </w:p>
    <w:p w14:paraId="04D5D1B9">
      <w:pPr>
        <w:numPr>
          <w:ilvl w:val="0"/>
          <w:numId w:val="1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“信托财产”处置变现完毕（含“清仓回购”）或“资产池”中最后一笔“贷款”偿付完毕。</w:t>
      </w:r>
    </w:p>
    <w:p w14:paraId="19DB562A">
      <w:pPr>
        <w:tabs>
          <w:tab w:val="left" w:pos="425"/>
          <w:tab w:val="left" w:pos="720"/>
          <w:tab w:val="left" w:pos="851"/>
          <w:tab w:val="left" w:pos="1145"/>
        </w:tabs>
        <w:spacing w:before="156" w:beforeLines="50" w:after="156" w:afterLines="50" w:line="360" w:lineRule="auto"/>
        <w:ind w:left="851"/>
        <w:rPr>
          <w:rFonts w:eastAsia="楷体_GB2312"/>
          <w:b/>
          <w:bCs/>
          <w:i/>
          <w:iCs/>
          <w:color w:val="FF0000"/>
          <w:sz w:val="24"/>
        </w:rPr>
      </w:pPr>
      <w:bookmarkStart w:id="33" w:name="_Hlk221182832"/>
      <w:r>
        <w:rPr>
          <w:rFonts w:eastAsia="楷体_GB2312"/>
          <w:b/>
          <w:bCs/>
          <w:i/>
          <w:iCs/>
          <w:color w:val="FF0000"/>
          <w:sz w:val="24"/>
        </w:rPr>
        <w:t>【注：信托终止的情形可根据具体项目情况进行调整或增减。】</w:t>
      </w:r>
      <w:bookmarkEnd w:id="33"/>
    </w:p>
    <w:p w14:paraId="0E85465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工作日：</w:t>
      </w:r>
      <w:r>
        <w:rPr>
          <w:rFonts w:ascii="Times New Roman" w:hAnsi="Times New Roman" w:eastAsia="楷体_GB2312"/>
          <w:bCs/>
          <w:sz w:val="24"/>
        </w:rPr>
        <w:t>系指商业银行的对公业务正常营业日（不包括中国的法定公休日和节假日）。</w:t>
      </w:r>
    </w:p>
    <w:p w14:paraId="29E7B96B">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日/天：</w:t>
      </w:r>
      <w:r>
        <w:rPr>
          <w:rFonts w:ascii="Times New Roman" w:hAnsi="Times New Roman" w:eastAsia="楷体_GB2312"/>
          <w:bCs/>
          <w:sz w:val="24"/>
        </w:rPr>
        <w:t>除“工作日”另有定义外，均指自然日。</w:t>
      </w:r>
    </w:p>
    <w:p w14:paraId="39C0FA7D">
      <w:pPr>
        <w:spacing w:before="156" w:beforeLines="50" w:after="156" w:afterLines="50" w:line="360" w:lineRule="auto"/>
        <w:rPr>
          <w:rFonts w:ascii="Times New Roman" w:hAnsi="Times New Roman" w:eastAsia="楷体_GB2312"/>
          <w:b/>
          <w:bCs/>
          <w:sz w:val="24"/>
        </w:rPr>
      </w:pPr>
      <w:r>
        <w:rPr>
          <w:rFonts w:ascii="Times New Roman" w:hAnsi="Times New Roman" w:eastAsia="楷体_GB2312"/>
          <w:b/>
          <w:bCs/>
          <w:sz w:val="24"/>
        </w:rPr>
        <w:t>2、期间类</w:t>
      </w:r>
    </w:p>
    <w:p w14:paraId="3B56653A">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收款期间：</w:t>
      </w:r>
      <w:r>
        <w:rPr>
          <w:rFonts w:ascii="Times New Roman" w:hAnsi="Times New Roman" w:eastAsia="楷体_GB2312"/>
          <w:bCs/>
          <w:sz w:val="24"/>
        </w:rPr>
        <w:t>系指自一个“计算日”起（不含该日）至下一个“计算日”（含该日）之间的期间，其中第一个“收款期间”应自“初始起算日”（含该日）起至第一个“计算日”（含该日）结束，最后一个“收款期间”自“信托终止日”前一个“计算日”起（不含该日）至“信托终止日”止（含该日）。</w:t>
      </w:r>
    </w:p>
    <w:p w14:paraId="7C76376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回收款转付期间：</w:t>
      </w:r>
      <w:r>
        <w:rPr>
          <w:rFonts w:ascii="Times New Roman" w:hAnsi="Times New Roman" w:eastAsia="楷体_GB2312"/>
          <w:bCs/>
          <w:sz w:val="24"/>
        </w:rPr>
        <w:t>“回收款转付期间”按照如下规则确定：</w:t>
      </w:r>
    </w:p>
    <w:p w14:paraId="5E38B313">
      <w:pPr>
        <w:numPr>
          <w:ilvl w:val="0"/>
          <w:numId w:val="12"/>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当“评级机构”中任一家给予“贷款服务机构”的主体长期信用等级均高于或等于【】级之日起，“回收款转付期间”系指一个“计算日”（不含该日）至下一个“计算日”（含该日）之间的期间，其中第一个“回收款转付期间”自“信托设立日”（含该日）起至第一个“计算日”（含该日）结束；</w:t>
      </w:r>
    </w:p>
    <w:p w14:paraId="403ACA87">
      <w:pPr>
        <w:numPr>
          <w:ilvl w:val="0"/>
          <w:numId w:val="12"/>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当“评级机构”中任一家给予“贷款服务机构”的主体长期信用等级低于【】级时，“委托人”或“受托人”将根据“《信托合同》”的</w:t>
      </w:r>
      <w:r>
        <w:rPr>
          <w:rFonts w:hint="eastAsia" w:ascii="Times New Roman" w:hAnsi="Times New Roman" w:eastAsia="楷体_GB2312"/>
          <w:sz w:val="24"/>
          <w:szCs w:val="28"/>
        </w:rPr>
        <w:t>约定</w:t>
      </w:r>
      <w:r>
        <w:rPr>
          <w:rFonts w:ascii="Times New Roman" w:hAnsi="Times New Roman" w:eastAsia="楷体_GB2312"/>
          <w:sz w:val="24"/>
          <w:szCs w:val="28"/>
        </w:rPr>
        <w:t>通知“借款人”、担保人（如有）将其应支付的款项支付至“信托账户”。</w:t>
      </w:r>
    </w:p>
    <w:p w14:paraId="2A7862BA">
      <w:pPr>
        <w:tabs>
          <w:tab w:val="left" w:pos="851"/>
        </w:tabs>
        <w:spacing w:before="156" w:beforeLines="50" w:after="156" w:afterLines="50" w:line="360" w:lineRule="auto"/>
        <w:ind w:left="850" w:leftChars="405"/>
        <w:rPr>
          <w:rFonts w:ascii="Times New Roman" w:hAnsi="Times New Roman" w:eastAsia="楷体_GB2312"/>
          <w:sz w:val="24"/>
          <w:szCs w:val="28"/>
        </w:rPr>
      </w:pPr>
      <w:r>
        <w:rPr>
          <w:rFonts w:ascii="Times New Roman" w:hAnsi="Times New Roman" w:eastAsia="楷体_GB2312"/>
          <w:sz w:val="24"/>
          <w:szCs w:val="28"/>
        </w:rPr>
        <w:t>如果“评级机构”中任一家给予“贷款服务机构”的主体长期信用等级在某一“回收款转付期间”内发生变化且因此需要改变相关“回收款转付期间”时，自该“回收款转付期间”届满之日起，相关“回收款转付期间”按照前述规则进行相应的改变。“回收款转付期间”发生上述改变之后，即使“贷款服务机构”的主体长期信用等级重新提高，“回收款转付期间”的频率也不再恢复。</w:t>
      </w:r>
    </w:p>
    <w:p w14:paraId="6770508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计息期间：</w:t>
      </w:r>
      <w:r>
        <w:rPr>
          <w:rFonts w:ascii="Times New Roman" w:hAnsi="Times New Roman" w:eastAsia="楷体_GB2312"/>
          <w:bCs/>
          <w:sz w:val="24"/>
        </w:rPr>
        <w:t>系指自一个“计息日”（含该日）至下一个“计息日”（不含该日）之间的期间。其中，第一个“计息期间”指“信托设立日”（含该日）开始并于第一个“计息日”（不含该日）结束。</w:t>
      </w:r>
    </w:p>
    <w:p w14:paraId="5ACF79BB">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持续购买期：</w:t>
      </w:r>
      <w:bookmarkStart w:id="34" w:name="_Hlk191299786"/>
      <w:r>
        <w:rPr>
          <w:rFonts w:ascii="Times New Roman" w:hAnsi="Times New Roman" w:eastAsia="楷体_GB2312"/>
          <w:bCs/>
          <w:sz w:val="24"/>
        </w:rPr>
        <w:t>系指自“信托生效日”（含该日）起至“持续购买终止日”（不含该日）止的期间。</w:t>
      </w:r>
      <w:bookmarkEnd w:id="34"/>
      <w:r>
        <w:rPr>
          <w:rFonts w:ascii="Times New Roman" w:hAnsi="Times New Roman" w:eastAsia="楷体_GB2312"/>
          <w:bCs/>
          <w:sz w:val="24"/>
        </w:rPr>
        <w:t>在“持续购买期”内，“受托人”有权以“信托账户”项下“本金分账户”内“可用持续购买资金”向“发起机构”持续购买新增“资产”。</w:t>
      </w:r>
    </w:p>
    <w:p w14:paraId="647DD77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摊还期：</w:t>
      </w:r>
      <w:r>
        <w:rPr>
          <w:rFonts w:ascii="Times New Roman" w:hAnsi="Times New Roman" w:eastAsia="楷体_GB2312"/>
          <w:bCs/>
          <w:sz w:val="24"/>
        </w:rPr>
        <w:t>“持续购买期”结束后即进入“摊还期”，“摊还期”至“法定到期日”止，“受托人”将于“摊还期”内偿付“资产支持证券”的本金。</w:t>
      </w:r>
    </w:p>
    <w:p w14:paraId="4ABFFCF2">
      <w:pPr>
        <w:spacing w:before="156" w:beforeLines="50" w:after="156" w:afterLines="50" w:line="360" w:lineRule="auto"/>
        <w:rPr>
          <w:rFonts w:ascii="Times New Roman" w:hAnsi="Times New Roman" w:eastAsia="楷体_GB2312"/>
          <w:b/>
          <w:bCs/>
          <w:sz w:val="24"/>
        </w:rPr>
      </w:pPr>
      <w:r>
        <w:rPr>
          <w:rFonts w:ascii="Times New Roman" w:hAnsi="Times New Roman" w:eastAsia="楷体_GB2312"/>
          <w:b/>
          <w:bCs/>
          <w:sz w:val="24"/>
        </w:rPr>
        <w:t>3、报告</w:t>
      </w:r>
    </w:p>
    <w:p w14:paraId="4257AE66">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贷款服务机构月度报告：</w:t>
      </w:r>
      <w:r>
        <w:rPr>
          <w:rFonts w:ascii="Times New Roman" w:hAnsi="Times New Roman" w:eastAsia="楷体_GB2312"/>
          <w:bCs/>
          <w:sz w:val="24"/>
        </w:rPr>
        <w:t>系指由“贷款服务机构”根据“《服务合同》”附件【】所</w:t>
      </w:r>
      <w:r>
        <w:rPr>
          <w:rFonts w:hint="eastAsia" w:ascii="Times New Roman" w:hAnsi="Times New Roman" w:eastAsia="楷体_GB2312"/>
          <w:bCs/>
          <w:sz w:val="24"/>
        </w:rPr>
        <w:t>约定</w:t>
      </w:r>
      <w:r>
        <w:rPr>
          <w:rFonts w:ascii="Times New Roman" w:hAnsi="Times New Roman" w:eastAsia="楷体_GB2312"/>
          <w:bCs/>
          <w:sz w:val="24"/>
        </w:rPr>
        <w:t>的格式准备的月度报告。</w:t>
      </w:r>
    </w:p>
    <w:p w14:paraId="38CA5AC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贷款服务机构年度报告：</w:t>
      </w:r>
      <w:r>
        <w:rPr>
          <w:rFonts w:ascii="Times New Roman" w:hAnsi="Times New Roman" w:eastAsia="楷体_GB2312"/>
          <w:bCs/>
          <w:sz w:val="24"/>
        </w:rPr>
        <w:t>系指由“贷款服务机构”根据“《服务合同》”附件【】所</w:t>
      </w:r>
      <w:r>
        <w:rPr>
          <w:rFonts w:hint="eastAsia" w:ascii="Times New Roman" w:hAnsi="Times New Roman" w:eastAsia="楷体_GB2312"/>
          <w:bCs/>
          <w:sz w:val="24"/>
        </w:rPr>
        <w:t>约定</w:t>
      </w:r>
      <w:r>
        <w:rPr>
          <w:rFonts w:ascii="Times New Roman" w:hAnsi="Times New Roman" w:eastAsia="楷体_GB2312"/>
          <w:bCs/>
          <w:sz w:val="24"/>
        </w:rPr>
        <w:t>的格式准备的年度报告。</w:t>
      </w:r>
    </w:p>
    <w:p w14:paraId="4608F7A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贷款服务机构报告：</w:t>
      </w:r>
      <w:r>
        <w:rPr>
          <w:rFonts w:ascii="Times New Roman" w:hAnsi="Times New Roman" w:eastAsia="楷体_GB2312"/>
          <w:bCs/>
          <w:sz w:val="24"/>
        </w:rPr>
        <w:t>系指“贷款服务机构月度报告”和“贷款服务机构年度报告”的统称。</w:t>
      </w:r>
    </w:p>
    <w:p w14:paraId="6110C0F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对贷款服务机构月度报告</w:t>
      </w:r>
      <w:r>
        <w:rPr>
          <w:rFonts w:hint="eastAsia" w:ascii="Times New Roman" w:hAnsi="Times New Roman" w:eastAsia="楷体_GB2312"/>
          <w:b/>
          <w:sz w:val="24"/>
        </w:rPr>
        <w:t>执行商定程序的报告：</w:t>
      </w:r>
      <w:r>
        <w:rPr>
          <w:rFonts w:hint="eastAsia" w:ascii="Times New Roman" w:hAnsi="Times New Roman" w:eastAsia="楷体_GB2312"/>
          <w:bCs/>
          <w:sz w:val="24"/>
        </w:rPr>
        <w:t>系指由</w:t>
      </w:r>
      <w:r>
        <w:rPr>
          <w:rFonts w:ascii="Times New Roman" w:hAnsi="Times New Roman" w:eastAsia="楷体_GB2312"/>
          <w:bCs/>
          <w:sz w:val="24"/>
        </w:rPr>
        <w:t>“</w:t>
      </w:r>
      <w:r>
        <w:rPr>
          <w:rFonts w:hint="eastAsia" w:ascii="Times New Roman" w:hAnsi="Times New Roman" w:eastAsia="楷体_GB2312"/>
          <w:bCs/>
          <w:sz w:val="24"/>
        </w:rPr>
        <w:t>受托机构</w:t>
      </w:r>
      <w:r>
        <w:rPr>
          <w:rFonts w:ascii="Times New Roman" w:hAnsi="Times New Roman" w:eastAsia="楷体_GB2312"/>
          <w:bCs/>
          <w:sz w:val="24"/>
        </w:rPr>
        <w:t>”</w:t>
      </w:r>
      <w:r>
        <w:rPr>
          <w:rFonts w:hint="eastAsia" w:ascii="Times New Roman" w:hAnsi="Times New Roman" w:eastAsia="楷体_GB2312"/>
          <w:bCs/>
          <w:sz w:val="24"/>
        </w:rPr>
        <w:t>挑选的一家独立外部会计师事务所针对</w:t>
      </w:r>
      <w:r>
        <w:rPr>
          <w:rFonts w:ascii="Times New Roman" w:hAnsi="Times New Roman" w:eastAsia="楷体_GB2312"/>
          <w:bCs/>
          <w:sz w:val="24"/>
        </w:rPr>
        <w:t>“</w:t>
      </w:r>
      <w:r>
        <w:rPr>
          <w:rFonts w:hint="eastAsia" w:ascii="Times New Roman" w:hAnsi="Times New Roman" w:eastAsia="楷体_GB2312"/>
          <w:bCs/>
          <w:sz w:val="24"/>
        </w:rPr>
        <w:t>贷款服务机构月度报告</w:t>
      </w:r>
      <w:r>
        <w:rPr>
          <w:rFonts w:ascii="Times New Roman" w:hAnsi="Times New Roman" w:eastAsia="楷体_GB2312"/>
          <w:bCs/>
          <w:sz w:val="24"/>
        </w:rPr>
        <w:t>”</w:t>
      </w:r>
      <w:r>
        <w:rPr>
          <w:rFonts w:hint="eastAsia" w:ascii="Times New Roman" w:hAnsi="Times New Roman" w:eastAsia="楷体_GB2312"/>
          <w:bCs/>
          <w:sz w:val="24"/>
        </w:rPr>
        <w:t>出具的报告。</w:t>
      </w:r>
    </w:p>
    <w:p w14:paraId="5AC6B52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资金保管机构月度报告：</w:t>
      </w:r>
      <w:r>
        <w:rPr>
          <w:rFonts w:ascii="Times New Roman" w:hAnsi="Times New Roman" w:eastAsia="楷体_GB2312"/>
          <w:bCs/>
          <w:sz w:val="24"/>
        </w:rPr>
        <w:t>系指由“资金保管机构”根据“《资金保管合同》”附件【】所</w:t>
      </w:r>
      <w:r>
        <w:rPr>
          <w:rFonts w:hint="eastAsia" w:ascii="Times New Roman" w:hAnsi="Times New Roman" w:eastAsia="楷体_GB2312"/>
          <w:bCs/>
          <w:sz w:val="24"/>
        </w:rPr>
        <w:t>约定</w:t>
      </w:r>
      <w:r>
        <w:rPr>
          <w:rFonts w:ascii="Times New Roman" w:hAnsi="Times New Roman" w:eastAsia="楷体_GB2312"/>
          <w:bCs/>
          <w:sz w:val="24"/>
        </w:rPr>
        <w:t>的格式准备的月度报告。</w:t>
      </w:r>
    </w:p>
    <w:p w14:paraId="14200CE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资金保管机构年度报告：</w:t>
      </w:r>
      <w:r>
        <w:rPr>
          <w:rFonts w:ascii="Times New Roman" w:hAnsi="Times New Roman" w:eastAsia="楷体_GB2312"/>
          <w:bCs/>
          <w:sz w:val="24"/>
        </w:rPr>
        <w:t>系指由“资金保管机构”根据“《资金保管合同》”附件【】所</w:t>
      </w:r>
      <w:r>
        <w:rPr>
          <w:rFonts w:hint="eastAsia" w:ascii="Times New Roman" w:hAnsi="Times New Roman" w:eastAsia="楷体_GB2312"/>
          <w:bCs/>
          <w:sz w:val="24"/>
        </w:rPr>
        <w:t>约定</w:t>
      </w:r>
      <w:r>
        <w:rPr>
          <w:rFonts w:ascii="Times New Roman" w:hAnsi="Times New Roman" w:eastAsia="楷体_GB2312"/>
          <w:bCs/>
          <w:sz w:val="24"/>
        </w:rPr>
        <w:t>的格式准备的年度报告。</w:t>
      </w:r>
    </w:p>
    <w:p w14:paraId="2C9AF5AC">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资金保管机构报告：</w:t>
      </w:r>
      <w:r>
        <w:rPr>
          <w:rFonts w:ascii="Times New Roman" w:hAnsi="Times New Roman" w:eastAsia="楷体_GB2312"/>
          <w:bCs/>
          <w:sz w:val="24"/>
        </w:rPr>
        <w:t>系指“资金保管机构月度报告”和“资金保管机构年度报告”的统称。</w:t>
      </w:r>
    </w:p>
    <w:p w14:paraId="4FCF8A7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受托机构月度报告：</w:t>
      </w:r>
      <w:r>
        <w:rPr>
          <w:rFonts w:ascii="Times New Roman" w:hAnsi="Times New Roman" w:eastAsia="楷体_GB2312"/>
          <w:bCs/>
          <w:sz w:val="24"/>
        </w:rPr>
        <w:t>系指由“受托人”根据“《信托合同》”【附件十】所</w:t>
      </w:r>
      <w:r>
        <w:rPr>
          <w:rFonts w:hint="eastAsia" w:ascii="Times New Roman" w:hAnsi="Times New Roman" w:eastAsia="楷体_GB2312"/>
          <w:bCs/>
          <w:sz w:val="24"/>
        </w:rPr>
        <w:t>约定</w:t>
      </w:r>
      <w:r>
        <w:rPr>
          <w:rFonts w:ascii="Times New Roman" w:hAnsi="Times New Roman" w:eastAsia="楷体_GB2312"/>
          <w:bCs/>
          <w:sz w:val="24"/>
        </w:rPr>
        <w:t>的格式准备的月度报告。</w:t>
      </w:r>
    </w:p>
    <w:p w14:paraId="6800064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受托机构年度报告：</w:t>
      </w:r>
      <w:r>
        <w:rPr>
          <w:rFonts w:ascii="Times New Roman" w:hAnsi="Times New Roman" w:eastAsia="楷体_GB2312"/>
          <w:bCs/>
          <w:sz w:val="24"/>
        </w:rPr>
        <w:t>系指由“受托人”根据“《信托合同》”【附件十】所</w:t>
      </w:r>
      <w:r>
        <w:rPr>
          <w:rFonts w:hint="eastAsia" w:ascii="Times New Roman" w:hAnsi="Times New Roman" w:eastAsia="楷体_GB2312"/>
          <w:bCs/>
          <w:sz w:val="24"/>
        </w:rPr>
        <w:t>约定</w:t>
      </w:r>
      <w:r>
        <w:rPr>
          <w:rFonts w:ascii="Times New Roman" w:hAnsi="Times New Roman" w:eastAsia="楷体_GB2312"/>
          <w:bCs/>
          <w:sz w:val="24"/>
        </w:rPr>
        <w:t>的格式准备的年度报告。</w:t>
      </w:r>
    </w:p>
    <w:p w14:paraId="63FD5563">
      <w:pPr>
        <w:tabs>
          <w:tab w:val="left" w:pos="851"/>
          <w:tab w:val="left" w:pos="1145"/>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【注：信贷ABS信息披露指引如有编制半年度等受托机构报告要求且不符合豁免要求的，应当编制半年度受托机构报告。】</w:t>
      </w:r>
    </w:p>
    <w:p w14:paraId="08C1AC6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分配指令：</w:t>
      </w:r>
      <w:r>
        <w:rPr>
          <w:rFonts w:ascii="Times New Roman" w:hAnsi="Times New Roman" w:eastAsia="楷体_GB2312"/>
          <w:bCs/>
          <w:sz w:val="24"/>
        </w:rPr>
        <w:t>系指“受托人”向“资金保管机构”发出的要求其在“信托账户”进行会计记账及相应分配的指令，其格式见“《资金保管合同》”附件【】。</w:t>
      </w:r>
    </w:p>
    <w:p w14:paraId="08FED0EB">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划款指令：</w:t>
      </w:r>
      <w:r>
        <w:rPr>
          <w:rFonts w:ascii="Times New Roman" w:hAnsi="Times New Roman" w:eastAsia="楷体_GB2312"/>
          <w:bCs/>
          <w:sz w:val="24"/>
        </w:rPr>
        <w:t>系指“受托人”根据“《资金保管合同》”附件【】所</w:t>
      </w:r>
      <w:r>
        <w:rPr>
          <w:rFonts w:hint="eastAsia" w:ascii="Times New Roman" w:hAnsi="Times New Roman" w:eastAsia="楷体_GB2312"/>
          <w:bCs/>
          <w:sz w:val="24"/>
        </w:rPr>
        <w:t>约定</w:t>
      </w:r>
      <w:r>
        <w:rPr>
          <w:rFonts w:ascii="Times New Roman" w:hAnsi="Times New Roman" w:eastAsia="楷体_GB2312"/>
          <w:bCs/>
          <w:sz w:val="24"/>
        </w:rPr>
        <w:t>格式向“资金保管机构”发出的要求其划付“信托账户”内的资金的指令。</w:t>
      </w:r>
    </w:p>
    <w:p w14:paraId="32A18C62">
      <w:pPr>
        <w:pStyle w:val="6"/>
        <w:spacing w:before="156" w:beforeLines="50" w:after="156" w:afterLines="50" w:line="360" w:lineRule="auto"/>
        <w:ind w:left="0" w:leftChars="0"/>
        <w:outlineLvl w:val="1"/>
        <w:rPr>
          <w:rFonts w:ascii="Times New Roman" w:hAnsi="Times New Roman" w:eastAsia="楷体_GB2312"/>
          <w:b/>
          <w:sz w:val="24"/>
        </w:rPr>
      </w:pPr>
      <w:bookmarkStart w:id="35" w:name="_Toc173860442"/>
      <w:r>
        <w:rPr>
          <w:rFonts w:ascii="Times New Roman" w:hAnsi="Times New Roman" w:eastAsia="楷体_GB2312"/>
          <w:b/>
          <w:sz w:val="24"/>
        </w:rPr>
        <w:t>（五）</w:t>
      </w:r>
      <w:bookmarkEnd w:id="35"/>
      <w:r>
        <w:rPr>
          <w:rFonts w:ascii="Times New Roman" w:hAnsi="Times New Roman" w:eastAsia="楷体_GB2312"/>
          <w:b/>
          <w:sz w:val="24"/>
        </w:rPr>
        <w:t>重大事件与指标</w:t>
      </w:r>
    </w:p>
    <w:p w14:paraId="7A934A3D">
      <w:pPr>
        <w:numPr>
          <w:ilvl w:val="0"/>
          <w:numId w:val="13"/>
        </w:numPr>
        <w:autoSpaceDE w:val="0"/>
        <w:autoSpaceDN w:val="0"/>
        <w:adjustRightInd w:val="0"/>
        <w:spacing w:before="156" w:beforeLines="50" w:after="156" w:afterLines="50" w:line="360" w:lineRule="auto"/>
        <w:jc w:val="left"/>
        <w:rPr>
          <w:rFonts w:ascii="Times New Roman" w:hAnsi="Times New Roman" w:eastAsia="楷体_GB2312"/>
          <w:b/>
          <w:sz w:val="24"/>
        </w:rPr>
      </w:pPr>
      <w:r>
        <w:rPr>
          <w:rFonts w:ascii="Times New Roman" w:hAnsi="Times New Roman" w:eastAsia="楷体_GB2312"/>
          <w:b/>
          <w:sz w:val="24"/>
        </w:rPr>
        <w:t>项目涉及的重大事件</w:t>
      </w:r>
    </w:p>
    <w:p w14:paraId="7F9400AA">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加速清偿事件：</w:t>
      </w:r>
      <w:r>
        <w:rPr>
          <w:rFonts w:ascii="Times New Roman" w:hAnsi="Times New Roman" w:eastAsia="楷体_GB2312"/>
          <w:bCs/>
          <w:sz w:val="24"/>
        </w:rPr>
        <w:t>系指以下任一事件：</w:t>
      </w:r>
    </w:p>
    <w:p w14:paraId="6BEA795C">
      <w:pPr>
        <w:spacing w:before="156" w:beforeLines="50" w:after="156" w:afterLines="50" w:line="360" w:lineRule="auto"/>
        <w:ind w:left="1275"/>
        <w:rPr>
          <w:rFonts w:ascii="Times New Roman" w:hAnsi="Times New Roman" w:eastAsia="楷体_GB2312"/>
          <w:sz w:val="24"/>
          <w:szCs w:val="28"/>
        </w:rPr>
      </w:pPr>
      <w:r>
        <w:rPr>
          <w:rFonts w:ascii="Times New Roman" w:hAnsi="Times New Roman" w:eastAsia="楷体_GB2312"/>
          <w:sz w:val="24"/>
          <w:szCs w:val="28"/>
        </w:rPr>
        <w:t>自动生效的加速清偿事件：</w:t>
      </w:r>
    </w:p>
    <w:p w14:paraId="1D3EA527">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bookmarkStart w:id="36" w:name="_Ref204418479"/>
      <w:r>
        <w:rPr>
          <w:rFonts w:ascii="Times New Roman" w:hAnsi="Times New Roman" w:eastAsia="楷体_GB2312"/>
          <w:sz w:val="24"/>
          <w:szCs w:val="28"/>
        </w:rPr>
        <w:t>“委托人”发生任何“丧失清偿能力事件”；</w:t>
      </w:r>
      <w:bookmarkEnd w:id="36"/>
    </w:p>
    <w:p w14:paraId="07527DD9">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发生任何“贷款服务机构解任事件”；</w:t>
      </w:r>
    </w:p>
    <w:p w14:paraId="02B2958C">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“贷款服务机构”未能按照“交易文件”的</w:t>
      </w:r>
      <w:r>
        <w:rPr>
          <w:rFonts w:hint="eastAsia" w:ascii="Times New Roman" w:hAnsi="Times New Roman" w:eastAsia="楷体_GB2312"/>
          <w:sz w:val="24"/>
          <w:szCs w:val="28"/>
        </w:rPr>
        <w:t>约定</w:t>
      </w:r>
      <w:r>
        <w:rPr>
          <w:rFonts w:ascii="Times New Roman" w:hAnsi="Times New Roman" w:eastAsia="楷体_GB2312"/>
          <w:sz w:val="24"/>
          <w:szCs w:val="28"/>
        </w:rPr>
        <w:t>按时、足额付款或划转资金；</w:t>
      </w:r>
    </w:p>
    <w:p w14:paraId="181FD9AE">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i）根据“《信托合同》”、“《服务合同》”的约定，需要更换“受托人”、“贷款服务机构”或必须任命“后备贷款服务机构”，但在【】日内，仍无法找到合格的继任的“受托人”、“替代贷款服务机构”或“后备贷款服务机构”，或（ii）在已经委任“后备贷款服务机构”的情况下，该“后备贷款服务机构”停止根据“《服务合同》”提供“后备服务”，或（iii）“后备贷款服务机构”被解任时，未能根据“交易文件”的</w:t>
      </w:r>
      <w:r>
        <w:rPr>
          <w:rFonts w:hint="eastAsia" w:ascii="Times New Roman" w:hAnsi="Times New Roman" w:eastAsia="楷体_GB2312"/>
          <w:sz w:val="24"/>
          <w:szCs w:val="28"/>
        </w:rPr>
        <w:t>约定</w:t>
      </w:r>
      <w:r>
        <w:rPr>
          <w:rFonts w:ascii="Times New Roman" w:hAnsi="Times New Roman" w:eastAsia="楷体_GB2312"/>
          <w:sz w:val="24"/>
          <w:szCs w:val="28"/>
        </w:rPr>
        <w:t>任命继任者；</w:t>
      </w:r>
    </w:p>
    <w:p w14:paraId="18EE9612">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bookmarkStart w:id="37" w:name="_Ref204418483"/>
      <w:r>
        <w:rPr>
          <w:rFonts w:ascii="Times New Roman" w:hAnsi="Times New Roman" w:eastAsia="楷体_GB2312"/>
          <w:sz w:val="24"/>
          <w:szCs w:val="28"/>
        </w:rPr>
        <w:t>某一“收款期间”结束时的“累计违约率”超过【】%；</w:t>
      </w:r>
      <w:bookmarkEnd w:id="37"/>
    </w:p>
    <w:p w14:paraId="14000151">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bookmarkStart w:id="38" w:name="_Ref342401694"/>
      <w:bookmarkStart w:id="39" w:name="OLE_LINK5"/>
      <w:bookmarkStart w:id="40" w:name="OLE_LINK4"/>
      <w:r>
        <w:rPr>
          <w:rFonts w:ascii="Times New Roman" w:hAnsi="Times New Roman" w:eastAsia="楷体_GB2312"/>
          <w:sz w:val="24"/>
          <w:szCs w:val="28"/>
        </w:rPr>
        <w:t>在“优先A级资产支持证券”“预期到期日”前第一个“信托分配日”，按照“《信托合同》”第【11.5.2】款</w:t>
      </w:r>
      <w:r>
        <w:rPr>
          <w:rFonts w:hint="eastAsia" w:ascii="Times New Roman" w:hAnsi="Times New Roman" w:eastAsia="楷体_GB2312"/>
          <w:sz w:val="24"/>
          <w:szCs w:val="28"/>
        </w:rPr>
        <w:t>约定</w:t>
      </w:r>
      <w:r>
        <w:rPr>
          <w:rFonts w:ascii="Times New Roman" w:hAnsi="Times New Roman" w:eastAsia="楷体_GB2312"/>
          <w:sz w:val="24"/>
          <w:szCs w:val="28"/>
        </w:rPr>
        <w:t>的分配顺序无法足额分配“优先A级资产支持证券”的“未偿本金余额”；</w:t>
      </w:r>
      <w:bookmarkEnd w:id="38"/>
      <w:bookmarkEnd w:id="39"/>
      <w:bookmarkEnd w:id="40"/>
    </w:p>
    <w:p w14:paraId="5F3F2C8F">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bookmarkStart w:id="41" w:name="_Ref397348218"/>
      <w:r>
        <w:rPr>
          <w:rFonts w:ascii="Times New Roman" w:hAnsi="Times New Roman" w:eastAsia="楷体_GB2312"/>
          <w:sz w:val="24"/>
          <w:szCs w:val="28"/>
        </w:rPr>
        <w:t>在“优先B级资产支持证券”“预期到期日”前第一个“信托分配日”，按照“《信托合同》”第【11.5.2】款</w:t>
      </w:r>
      <w:r>
        <w:rPr>
          <w:rFonts w:hint="eastAsia" w:ascii="Times New Roman" w:hAnsi="Times New Roman" w:eastAsia="楷体_GB2312"/>
          <w:sz w:val="24"/>
          <w:szCs w:val="28"/>
        </w:rPr>
        <w:t>约定</w:t>
      </w:r>
      <w:r>
        <w:rPr>
          <w:rFonts w:ascii="Times New Roman" w:hAnsi="Times New Roman" w:eastAsia="楷体_GB2312"/>
          <w:sz w:val="24"/>
          <w:szCs w:val="28"/>
        </w:rPr>
        <w:t>的分配顺序无法足额分配“优先B级资产支持证券”的“未偿本金余额”；</w:t>
      </w:r>
      <w:bookmarkEnd w:id="41"/>
    </w:p>
    <w:p w14:paraId="159D4344">
      <w:pPr>
        <w:spacing w:before="156" w:beforeLines="50" w:after="156" w:afterLines="50" w:line="360" w:lineRule="auto"/>
        <w:ind w:left="1275"/>
        <w:rPr>
          <w:rFonts w:ascii="Times New Roman" w:hAnsi="Times New Roman" w:eastAsia="楷体_GB2312"/>
          <w:sz w:val="24"/>
          <w:szCs w:val="28"/>
        </w:rPr>
      </w:pPr>
      <w:r>
        <w:rPr>
          <w:rFonts w:ascii="Times New Roman" w:hAnsi="Times New Roman" w:eastAsia="楷体_GB2312"/>
          <w:sz w:val="24"/>
          <w:szCs w:val="28"/>
        </w:rPr>
        <w:t>需经宣布生效的加速清偿事件：</w:t>
      </w:r>
    </w:p>
    <w:p w14:paraId="4D2A4EF6">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bookmarkStart w:id="42" w:name="_Ref204418514"/>
      <w:r>
        <w:rPr>
          <w:rFonts w:ascii="Times New Roman" w:hAnsi="Times New Roman" w:eastAsia="楷体_GB2312"/>
          <w:sz w:val="24"/>
          <w:szCs w:val="28"/>
        </w:rPr>
        <w:t>“委托人”或“贷款服务机构”未能履行或遵守其在“交易文件”项下的任何主要义务（上述(c)项</w:t>
      </w:r>
      <w:r>
        <w:rPr>
          <w:rFonts w:hint="eastAsia" w:ascii="Times New Roman" w:hAnsi="Times New Roman" w:eastAsia="楷体_GB2312"/>
          <w:sz w:val="24"/>
          <w:szCs w:val="28"/>
        </w:rPr>
        <w:t>约定</w:t>
      </w:r>
      <w:r>
        <w:rPr>
          <w:rFonts w:ascii="Times New Roman" w:hAnsi="Times New Roman" w:eastAsia="楷体_GB2312"/>
          <w:sz w:val="24"/>
          <w:szCs w:val="28"/>
        </w:rPr>
        <w:t>的义务除外），并且“受托人”合理地认为该等行为无法补救或在“受托人”发出要求其补救的书面通知后【】天内未能得到补救；</w:t>
      </w:r>
      <w:bookmarkEnd w:id="42"/>
    </w:p>
    <w:p w14:paraId="6B24033D">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“委托人”在“交易文件”中提供的任何陈述、保证（“资产保证”除外）在提供时存在虚假记载、误导性陈述或重大遗漏；</w:t>
      </w:r>
    </w:p>
    <w:p w14:paraId="5F9D2D20">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发生对“贷款服务机构”、“委托人”、“受托人”或者“信托财产”有“重大不利影响”的事件；</w:t>
      </w:r>
    </w:p>
    <w:p w14:paraId="2BD9091B">
      <w:pPr>
        <w:numPr>
          <w:ilvl w:val="0"/>
          <w:numId w:val="14"/>
        </w:numPr>
        <w:spacing w:before="156" w:beforeLines="50" w:after="156" w:afterLines="50" w:line="360" w:lineRule="auto"/>
        <w:ind w:left="1274" w:leftChars="405" w:hanging="424" w:hangingChars="177"/>
        <w:rPr>
          <w:rFonts w:ascii="Times New Roman" w:hAnsi="Times New Roman" w:eastAsia="楷体_GB2312"/>
          <w:sz w:val="24"/>
          <w:szCs w:val="28"/>
        </w:rPr>
      </w:pPr>
      <w:bookmarkStart w:id="43" w:name="_Ref204418517"/>
      <w:r>
        <w:rPr>
          <w:rFonts w:ascii="Times New Roman" w:hAnsi="Times New Roman" w:eastAsia="楷体_GB2312"/>
          <w:sz w:val="24"/>
          <w:szCs w:val="28"/>
        </w:rPr>
        <w:t>“交易文件”（“《承销协议》”、“《承销团协议》”和“收费文件”除外）全部或部分被终止，成为或将成为无效、违法或不可根据其条款主张权利，并由此产生“重大不利影响”。</w:t>
      </w:r>
      <w:bookmarkEnd w:id="43"/>
    </w:p>
    <w:p w14:paraId="403F1A8A">
      <w:pPr>
        <w:spacing w:before="156" w:beforeLines="50" w:after="156" w:afterLines="50" w:line="360" w:lineRule="auto"/>
        <w:ind w:left="850" w:leftChars="405"/>
        <w:rPr>
          <w:rFonts w:ascii="Times New Roman" w:hAnsi="Times New Roman" w:eastAsia="楷体_GB2312"/>
          <w:sz w:val="24"/>
          <w:szCs w:val="28"/>
        </w:rPr>
      </w:pPr>
      <w:r>
        <w:rPr>
          <w:rFonts w:ascii="Times New Roman" w:hAnsi="Times New Roman" w:eastAsia="楷体_GB2312"/>
          <w:sz w:val="24"/>
          <w:szCs w:val="28"/>
        </w:rPr>
        <w:t>发生以上</w:t>
      </w:r>
      <w:r>
        <w:rPr>
          <w:rFonts w:ascii="Times New Roman" w:hAnsi="Times New Roman"/>
        </w:rPr>
        <w:fldChar w:fldCharType="begin"/>
      </w:r>
      <w:r>
        <w:rPr>
          <w:rFonts w:ascii="Times New Roman" w:hAnsi="Times New Roman"/>
        </w:rPr>
        <w:instrText xml:space="preserve"> REF _Ref204418479 \r \h  \* MERGEFORMAT </w:instrText>
      </w:r>
      <w:r>
        <w:rPr>
          <w:rFonts w:ascii="Times New Roman" w:hAnsi="Times New Roman"/>
        </w:rPr>
        <w:fldChar w:fldCharType="separate"/>
      </w:r>
      <w:r>
        <w:rPr>
          <w:rFonts w:ascii="Times New Roman" w:hAnsi="Times New Roman" w:eastAsia="楷体_GB2312"/>
          <w:sz w:val="24"/>
          <w:szCs w:val="28"/>
        </w:rPr>
        <w:t>(a)</w:t>
      </w:r>
      <w:r>
        <w:rPr>
          <w:rFonts w:ascii="Times New Roman" w:hAnsi="Times New Roman"/>
        </w:rPr>
        <w:fldChar w:fldCharType="end"/>
      </w:r>
      <w:r>
        <w:rPr>
          <w:rFonts w:ascii="Times New Roman" w:hAnsi="Times New Roman" w:eastAsia="楷体_GB2312"/>
          <w:sz w:val="24"/>
          <w:szCs w:val="28"/>
        </w:rPr>
        <w:t>项至</w:t>
      </w:r>
      <w:r>
        <w:rPr>
          <w:rFonts w:ascii="Times New Roman" w:hAnsi="Times New Roman"/>
        </w:rPr>
        <w:fldChar w:fldCharType="begin"/>
      </w:r>
      <w:r>
        <w:rPr>
          <w:rFonts w:ascii="Times New Roman" w:hAnsi="Times New Roman"/>
        </w:rPr>
        <w:instrText xml:space="preserve"> REF _Ref397348218 \r \h  \* MERGEFORMAT </w:instrText>
      </w:r>
      <w:r>
        <w:rPr>
          <w:rFonts w:ascii="Times New Roman" w:hAnsi="Times New Roman"/>
        </w:rPr>
        <w:fldChar w:fldCharType="separate"/>
      </w:r>
      <w:r>
        <w:rPr>
          <w:rFonts w:ascii="Times New Roman" w:hAnsi="Times New Roman" w:eastAsia="楷体_GB2312"/>
          <w:sz w:val="24"/>
          <w:szCs w:val="28"/>
        </w:rPr>
        <w:t>(g)</w:t>
      </w:r>
      <w:r>
        <w:rPr>
          <w:rFonts w:ascii="Times New Roman" w:hAnsi="Times New Roman"/>
        </w:rPr>
        <w:fldChar w:fldCharType="end"/>
      </w:r>
      <w:r>
        <w:rPr>
          <w:rFonts w:ascii="Times New Roman" w:hAnsi="Times New Roman" w:eastAsia="楷体_GB2312"/>
          <w:sz w:val="24"/>
          <w:szCs w:val="28"/>
        </w:rPr>
        <w:t>项所列的任何一起自动生效的加速清偿事件时，加速清偿事件应视为在该等事件发生之日发生。发生以上</w:t>
      </w:r>
      <w:r>
        <w:rPr>
          <w:rFonts w:ascii="Times New Roman" w:hAnsi="Times New Roman"/>
        </w:rPr>
        <w:fldChar w:fldCharType="begin"/>
      </w:r>
      <w:r>
        <w:rPr>
          <w:rFonts w:ascii="Times New Roman" w:hAnsi="Times New Roman"/>
        </w:rPr>
        <w:instrText xml:space="preserve"> REF _Ref204418514 \r \h  \* MERGEFORMAT </w:instrText>
      </w:r>
      <w:r>
        <w:rPr>
          <w:rFonts w:ascii="Times New Roman" w:hAnsi="Times New Roman"/>
        </w:rPr>
        <w:fldChar w:fldCharType="separate"/>
      </w:r>
      <w:r>
        <w:rPr>
          <w:rFonts w:ascii="Times New Roman" w:hAnsi="Times New Roman" w:eastAsia="楷体_GB2312"/>
          <w:sz w:val="24"/>
          <w:szCs w:val="28"/>
        </w:rPr>
        <w:t>(h)</w:t>
      </w:r>
      <w:r>
        <w:rPr>
          <w:rFonts w:ascii="Times New Roman" w:hAnsi="Times New Roman"/>
        </w:rPr>
        <w:fldChar w:fldCharType="end"/>
      </w:r>
      <w:r>
        <w:rPr>
          <w:rFonts w:ascii="Times New Roman" w:hAnsi="Times New Roman" w:eastAsia="楷体_GB2312"/>
          <w:sz w:val="24"/>
          <w:szCs w:val="28"/>
        </w:rPr>
        <w:t>项至</w:t>
      </w:r>
      <w:r>
        <w:rPr>
          <w:rFonts w:ascii="Times New Roman" w:hAnsi="Times New Roman"/>
        </w:rPr>
        <w:fldChar w:fldCharType="begin"/>
      </w:r>
      <w:r>
        <w:rPr>
          <w:rFonts w:ascii="Times New Roman" w:hAnsi="Times New Roman"/>
        </w:rPr>
        <w:instrText xml:space="preserve"> REF _Ref204418517 \r \h  \* MERGEFORMAT </w:instrText>
      </w:r>
      <w:r>
        <w:rPr>
          <w:rFonts w:ascii="Times New Roman" w:hAnsi="Times New Roman"/>
        </w:rPr>
        <w:fldChar w:fldCharType="separate"/>
      </w:r>
      <w:r>
        <w:rPr>
          <w:rFonts w:ascii="Times New Roman" w:hAnsi="Times New Roman" w:eastAsia="楷体_GB2312"/>
          <w:sz w:val="24"/>
          <w:szCs w:val="28"/>
        </w:rPr>
        <w:t>(k)</w:t>
      </w:r>
      <w:r>
        <w:rPr>
          <w:rFonts w:ascii="Times New Roman" w:hAnsi="Times New Roman"/>
        </w:rPr>
        <w:fldChar w:fldCharType="end"/>
      </w:r>
      <w:r>
        <w:rPr>
          <w:rFonts w:ascii="Times New Roman" w:hAnsi="Times New Roman" w:eastAsia="楷体_GB2312"/>
          <w:sz w:val="24"/>
          <w:szCs w:val="28"/>
        </w:rPr>
        <w:t>项所列的任何一起需经宣布生效的加速清偿事件时，“受托人”应召集“资产支持证券持有人大会”。“资产支持证券持有人大会”决议宣布发生“加速清偿事件”的，“受托人”应向“贷款服务机构”、“资金保管机构”、“登记托管机构”、“支付代理机构”和“评级机构”发送书面通知，宣布“加速清偿事件”已经发生。</w:t>
      </w:r>
    </w:p>
    <w:p w14:paraId="4FE9EFC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违约事件：</w:t>
      </w:r>
      <w:r>
        <w:rPr>
          <w:rFonts w:ascii="Times New Roman" w:hAnsi="Times New Roman" w:eastAsia="楷体_GB2312"/>
          <w:bCs/>
          <w:sz w:val="24"/>
        </w:rPr>
        <w:t>系指以下任一事件：</w:t>
      </w:r>
    </w:p>
    <w:p w14:paraId="5CA0A8B7">
      <w:pPr>
        <w:numPr>
          <w:ilvl w:val="0"/>
          <w:numId w:val="15"/>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“回收款”不能合法有效交付给“受托人”或未能对抗第三人对相关“信托财产”提出的权利主张；</w:t>
      </w:r>
    </w:p>
    <w:p w14:paraId="1A756540">
      <w:pPr>
        <w:numPr>
          <w:ilvl w:val="0"/>
          <w:numId w:val="15"/>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“信托财产”在“支付日”后【】个“工作日”内（或在“资产支持证券持有人大会”允许的宽限期内）不能足额支付当时存在的最高级别的“优先级资产支持证券”应付未付利息的；</w:t>
      </w:r>
    </w:p>
    <w:p w14:paraId="24BA09E4">
      <w:pPr>
        <w:numPr>
          <w:ilvl w:val="0"/>
          <w:numId w:val="15"/>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“信托财产”在“法定到期日”后【】个“工作日”内（或在“资产支持证券持有人大会”允许的宽限期内）不能足额支付当时应偿付但尚未清偿的“</w:t>
      </w:r>
      <w:r>
        <w:rPr>
          <w:rFonts w:hint="eastAsia" w:ascii="Times New Roman" w:hAnsi="Times New Roman" w:eastAsia="楷体_GB2312"/>
          <w:sz w:val="24"/>
          <w:szCs w:val="28"/>
        </w:rPr>
        <w:t>优先级</w:t>
      </w:r>
      <w:r>
        <w:rPr>
          <w:rFonts w:ascii="Times New Roman" w:hAnsi="Times New Roman" w:eastAsia="楷体_GB2312"/>
          <w:sz w:val="24"/>
          <w:szCs w:val="28"/>
        </w:rPr>
        <w:t>资产支持证券”本金的；</w:t>
      </w:r>
    </w:p>
    <w:p w14:paraId="101A27CE">
      <w:pPr>
        <w:numPr>
          <w:ilvl w:val="0"/>
          <w:numId w:val="15"/>
        </w:numPr>
        <w:spacing w:before="156" w:beforeLines="50" w:after="156" w:afterLines="50" w:line="360" w:lineRule="auto"/>
        <w:ind w:left="1274" w:leftChars="405" w:hanging="424" w:hangingChars="177"/>
        <w:rPr>
          <w:rFonts w:ascii="Times New Roman" w:hAnsi="Times New Roman" w:eastAsia="楷体_GB2312"/>
          <w:sz w:val="24"/>
          <w:szCs w:val="28"/>
        </w:rPr>
      </w:pPr>
      <w:bookmarkStart w:id="44" w:name="_Ref340237779"/>
      <w:r>
        <w:rPr>
          <w:rFonts w:ascii="Times New Roman" w:hAnsi="Times New Roman" w:eastAsia="楷体_GB2312"/>
          <w:sz w:val="24"/>
          <w:szCs w:val="28"/>
        </w:rPr>
        <w:t>“交易文件”的相关方（“委托人”、“受托人”、“贷款服务机构”、“资金保管机构”）的主要相关义务未能履行或实现，导致对“资产支持证券持有人”权益产生“重大不利影响”，该“重大不利影响”情形在出现后【】个自然日内未能得到补正或改善</w:t>
      </w:r>
      <w:bookmarkEnd w:id="44"/>
      <w:r>
        <w:rPr>
          <w:rFonts w:ascii="Times New Roman" w:hAnsi="Times New Roman" w:eastAsia="楷体_GB2312"/>
          <w:sz w:val="24"/>
          <w:szCs w:val="28"/>
        </w:rPr>
        <w:t>，“资产支持证券持有人大会”做出决议宣布构成违约事件。</w:t>
      </w:r>
    </w:p>
    <w:p w14:paraId="5675B13F">
      <w:pPr>
        <w:spacing w:before="156" w:beforeLines="50" w:after="156" w:afterLines="50" w:line="360" w:lineRule="auto"/>
        <w:ind w:left="1275"/>
        <w:rPr>
          <w:rFonts w:ascii="Times New Roman" w:hAnsi="Times New Roman" w:eastAsia="楷体_GB2312"/>
          <w:b/>
          <w:bCs/>
          <w:i/>
          <w:iCs/>
          <w:color w:val="FF0000"/>
          <w:sz w:val="24"/>
          <w:szCs w:val="28"/>
        </w:rPr>
      </w:pPr>
      <w:r>
        <w:rPr>
          <w:rFonts w:ascii="Times New Roman" w:hAnsi="Times New Roman" w:eastAsia="楷体_GB2312"/>
          <w:b/>
          <w:bCs/>
          <w:i/>
          <w:iCs/>
          <w:color w:val="FF0000"/>
          <w:sz w:val="24"/>
          <w:szCs w:val="28"/>
        </w:rPr>
        <w:t>【注：违约事件可结合项目实际情况予以调整。】</w:t>
      </w:r>
    </w:p>
    <w:p w14:paraId="7C1DAC8D">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color w:val="000000" w:themeColor="text1"/>
          <w:sz w:val="24"/>
          <w14:textFill>
            <w14:solidFill>
              <w14:schemeClr w14:val="tx1"/>
            </w14:solidFill>
          </w14:textFill>
        </w:rPr>
        <w:t>个别通知事件/</w:t>
      </w:r>
      <w:r>
        <w:rPr>
          <w:rFonts w:ascii="Times New Roman" w:hAnsi="Times New Roman" w:eastAsia="楷体_GB2312"/>
          <w:b/>
          <w:sz w:val="24"/>
        </w:rPr>
        <w:t>权利完善事件：</w:t>
      </w:r>
      <w:r>
        <w:rPr>
          <w:rFonts w:ascii="Times New Roman" w:hAnsi="Times New Roman" w:eastAsia="楷体_GB2312"/>
          <w:bCs/>
          <w:sz w:val="24"/>
        </w:rPr>
        <w:t>系指以下任何事件：</w:t>
      </w:r>
    </w:p>
    <w:p w14:paraId="1971A84B">
      <w:pPr>
        <w:numPr>
          <w:ilvl w:val="0"/>
          <w:numId w:val="16"/>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发生任何一起“贷款服务机构解任事件”，导致“贷款服务机构”被解任；</w:t>
      </w:r>
    </w:p>
    <w:p w14:paraId="3851FD85">
      <w:pPr>
        <w:numPr>
          <w:ilvl w:val="0"/>
          <w:numId w:val="16"/>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“贷款服务机构”不具备任一“必备评级等级”；</w:t>
      </w:r>
    </w:p>
    <w:p w14:paraId="3C779A9A">
      <w:pPr>
        <w:numPr>
          <w:ilvl w:val="0"/>
          <w:numId w:val="16"/>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“委托人”不具备任一“必备评级等级”；</w:t>
      </w:r>
    </w:p>
    <w:p w14:paraId="5372E421">
      <w:pPr>
        <w:numPr>
          <w:ilvl w:val="0"/>
          <w:numId w:val="16"/>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“委托人”发生任何一起“丧失清偿能力事件”；</w:t>
      </w:r>
    </w:p>
    <w:p w14:paraId="79A6AC30">
      <w:pPr>
        <w:numPr>
          <w:ilvl w:val="0"/>
          <w:numId w:val="16"/>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仅就相关“贷款”而言，（i）“借款人”未履行其在“贷款合同”/“信用卡文件”项下的任何义务，以致须针对其提起法律诉讼或仲裁，且根据“中国”“法律”或司法机构的要求，该等法律诉讼或仲裁必须以“受托人”的名义提起；或（ii）</w:t>
      </w:r>
      <w:bookmarkStart w:id="45" w:name="OLE_LINK3"/>
      <w:bookmarkStart w:id="46" w:name="OLE_LINK2"/>
      <w:r>
        <w:rPr>
          <w:rFonts w:ascii="Times New Roman" w:hAnsi="Times New Roman" w:eastAsia="楷体_GB2312"/>
          <w:sz w:val="24"/>
          <w:szCs w:val="28"/>
        </w:rPr>
        <w:t>任何</w:t>
      </w:r>
      <w:r>
        <w:rPr>
          <w:rFonts w:ascii="Times New Roman" w:hAnsi="Times New Roman" w:eastAsia="楷体_GB2312"/>
          <w:sz w:val="24"/>
        </w:rPr>
        <w:t>“</w:t>
      </w:r>
      <w:r>
        <w:rPr>
          <w:rFonts w:ascii="Times New Roman" w:hAnsi="Times New Roman" w:eastAsia="楷体_GB2312"/>
          <w:sz w:val="24"/>
          <w:szCs w:val="28"/>
        </w:rPr>
        <w:t>担保人”（如有）未履行担保义务，以致须针对其提起法律诉讼或仲裁</w:t>
      </w:r>
      <w:bookmarkEnd w:id="45"/>
      <w:bookmarkEnd w:id="46"/>
      <w:r>
        <w:rPr>
          <w:rFonts w:ascii="Times New Roman" w:hAnsi="Times New Roman" w:eastAsia="楷体_GB2312"/>
          <w:sz w:val="24"/>
          <w:szCs w:val="28"/>
        </w:rPr>
        <w:t>，且根据“中国”“法律”或司法机构的要求，该等法律诉讼或仲裁必须以“受托人”的名义提起；或（iii）</w:t>
      </w:r>
      <w:r>
        <w:rPr>
          <w:rFonts w:ascii="Times New Roman" w:hAnsi="Times New Roman" w:eastAsia="楷体_GB2312"/>
          <w:kern w:val="0"/>
          <w:sz w:val="24"/>
        </w:rPr>
        <w:t>“委托人”在该等“贷款”相关的</w:t>
      </w:r>
      <w:r>
        <w:rPr>
          <w:rFonts w:ascii="Times New Roman" w:hAnsi="Times New Roman" w:eastAsia="楷体_GB2312"/>
          <w:snapToGrid w:val="0"/>
          <w:color w:val="000000"/>
          <w:kern w:val="28"/>
          <w:sz w:val="24"/>
          <w:szCs w:val="20"/>
        </w:rPr>
        <w:t>诉讼、仲裁、强制执行或其他法律程序中的主体资格被质疑而无法继续以自己名义进行的</w:t>
      </w:r>
      <w:r>
        <w:rPr>
          <w:rFonts w:ascii="Times New Roman" w:hAnsi="Times New Roman" w:eastAsia="楷体_GB2312"/>
          <w:kern w:val="0"/>
          <w:sz w:val="24"/>
        </w:rPr>
        <w:t>。</w:t>
      </w:r>
    </w:p>
    <w:p w14:paraId="0A28A45A">
      <w:pPr>
        <w:spacing w:before="156" w:beforeLines="50" w:after="156" w:afterLines="50" w:line="360" w:lineRule="auto"/>
        <w:ind w:left="1276"/>
        <w:rPr>
          <w:rFonts w:ascii="Times New Roman" w:hAnsi="Times New Roman" w:eastAsia="楷体_GB2312"/>
          <w:kern w:val="0"/>
          <w:sz w:val="24"/>
        </w:rPr>
      </w:pPr>
      <w:r>
        <w:rPr>
          <w:rFonts w:ascii="Times New Roman" w:hAnsi="Times New Roman" w:eastAsia="楷体_GB2312"/>
          <w:kern w:val="0"/>
          <w:sz w:val="24"/>
        </w:rPr>
        <w:t>此外，根据相关“中国”“法律”的规定或“资产”的届时状况和回收需要，“受托人”有权要求“委托人”或由“委托人”自行向相应的“义务人”发送“权利完善通知”，具体以“《信托合同》”第【5】条的约定为准。</w:t>
      </w:r>
    </w:p>
    <w:p w14:paraId="5435CE5C">
      <w:pPr>
        <w:pStyle w:val="65"/>
        <w:tabs>
          <w:tab w:val="left" w:pos="942"/>
        </w:tabs>
        <w:spacing w:before="156" w:beforeLines="50" w:after="156" w:afterLines="50" w:line="360" w:lineRule="auto"/>
        <w:ind w:left="942" w:firstLine="0" w:firstLineChars="0"/>
        <w:rPr>
          <w:rFonts w:ascii="Times New Roman" w:hAnsi="Times New Roman" w:eastAsia="楷体_GB2312"/>
          <w:b/>
          <w:bCs/>
          <w:i/>
          <w:iCs/>
          <w:color w:val="FF0000"/>
          <w:sz w:val="24"/>
        </w:rPr>
      </w:pPr>
      <w:r>
        <w:rPr>
          <w:rFonts w:ascii="Times New Roman" w:hAnsi="Times New Roman" w:eastAsia="楷体_GB2312"/>
          <w:b/>
          <w:bCs/>
          <w:i/>
          <w:iCs/>
          <w:color w:val="FF0000"/>
          <w:sz w:val="24"/>
        </w:rPr>
        <w:t>【注：</w:t>
      </w:r>
      <w:bookmarkStart w:id="47" w:name="_Hlk221450192"/>
      <w:r>
        <w:rPr>
          <w:rFonts w:ascii="Times New Roman" w:hAnsi="Times New Roman" w:eastAsia="楷体_GB2312"/>
          <w:b/>
          <w:bCs/>
          <w:i/>
          <w:iCs/>
          <w:color w:val="FF0000"/>
          <w:sz w:val="24"/>
        </w:rPr>
        <w:t>权利完善事件/个别通知事件市场主体采取的表述方式多样，</w:t>
      </w:r>
      <w:r>
        <w:rPr>
          <w:rFonts w:ascii="Times New Roman" w:hAnsi="Times New Roman" w:eastAsia="楷体_GB2312"/>
          <w:b/>
          <w:bCs/>
          <w:i/>
          <w:iCs/>
          <w:color w:val="FF0000"/>
          <w:kern w:val="0"/>
          <w:sz w:val="24"/>
        </w:rPr>
        <w:t>具体权利完善事件以及该等事件发生后的法律后果均可结合项目实际需要而予以调整，注意与届时的信托合同的相关约定相匹配即可</w:t>
      </w:r>
      <w:r>
        <w:rPr>
          <w:rFonts w:ascii="Times New Roman" w:hAnsi="Times New Roman" w:eastAsia="楷体_GB2312"/>
          <w:b/>
          <w:bCs/>
          <w:i/>
          <w:iCs/>
          <w:color w:val="FF0000"/>
          <w:sz w:val="24"/>
        </w:rPr>
        <w:t>。</w:t>
      </w:r>
      <w:bookmarkEnd w:id="47"/>
      <w:r>
        <w:rPr>
          <w:rFonts w:eastAsia="楷体_GB2312"/>
          <w:b/>
          <w:bCs/>
          <w:i/>
          <w:iCs/>
          <w:color w:val="FF0000"/>
          <w:sz w:val="24"/>
        </w:rPr>
        <w:t>本套标准合同中，</w:t>
      </w:r>
      <w:r>
        <w:rPr>
          <w:rFonts w:eastAsia="楷体_GB2312"/>
          <w:b/>
          <w:bCs/>
          <w:i/>
          <w:iCs/>
          <w:color w:val="FF0000"/>
          <w:kern w:val="0"/>
          <w:sz w:val="24"/>
        </w:rPr>
        <w:t>由于权利完善事件/个别通知事件作为信息披露的事项，故本套标准</w:t>
      </w:r>
      <w:r>
        <w:rPr>
          <w:rFonts w:hint="eastAsia" w:eastAsia="楷体_GB2312"/>
          <w:b/>
          <w:bCs/>
          <w:i/>
          <w:iCs/>
          <w:color w:val="FF0000"/>
          <w:kern w:val="0"/>
          <w:sz w:val="24"/>
          <w:lang w:val="en-US" w:eastAsia="zh-CN"/>
        </w:rPr>
        <w:t>合同</w:t>
      </w:r>
      <w:bookmarkStart w:id="128" w:name="_GoBack"/>
      <w:bookmarkEnd w:id="128"/>
      <w:r>
        <w:rPr>
          <w:rFonts w:eastAsia="楷体_GB2312"/>
          <w:b/>
          <w:bCs/>
          <w:i/>
          <w:iCs/>
          <w:color w:val="FF0000"/>
          <w:kern w:val="0"/>
          <w:sz w:val="24"/>
        </w:rPr>
        <w:t>将涉及发生个别通知事件的情形统一纳入权利完善事件的定义，仅供参考。</w:t>
      </w:r>
      <w:r>
        <w:rPr>
          <w:rFonts w:ascii="Times New Roman" w:hAnsi="Times New Roman" w:eastAsia="楷体_GB2312"/>
          <w:b/>
          <w:bCs/>
          <w:i/>
          <w:iCs/>
          <w:color w:val="FF0000"/>
          <w:sz w:val="24"/>
        </w:rPr>
        <w:t>】</w:t>
      </w:r>
    </w:p>
    <w:p w14:paraId="2F3A8C1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提前摊还事件：</w:t>
      </w:r>
      <w:r>
        <w:rPr>
          <w:rFonts w:ascii="Times New Roman" w:hAnsi="Times New Roman" w:eastAsia="楷体_GB2312"/>
          <w:bCs/>
          <w:sz w:val="24"/>
        </w:rPr>
        <w:t>系指在“持续购买期”内发生的以下任一事件：</w:t>
      </w:r>
    </w:p>
    <w:p w14:paraId="741C508C">
      <w:pPr>
        <w:numPr>
          <w:ilvl w:val="0"/>
          <w:numId w:val="17"/>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自最近一次完成持续购买对应的“持续购买日”起连续【】个月未购买任何资产；</w:t>
      </w:r>
    </w:p>
    <w:p w14:paraId="7D4B0C08">
      <w:pPr>
        <w:numPr>
          <w:ilvl w:val="0"/>
          <w:numId w:val="17"/>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某一“持续购买日”日终，“信托账户”已收到但尚未用于持续购买或者分配的“本金分账户”内资金总额超过前一“收款期间”期末“资产池”“未偿本金余额”的【】%；</w:t>
      </w:r>
    </w:p>
    <w:p w14:paraId="431994CE">
      <w:pPr>
        <w:numPr>
          <w:ilvl w:val="0"/>
          <w:numId w:val="17"/>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“交易文件”约定的提前结束“持续购买期”的其他情形（如有）。</w:t>
      </w:r>
    </w:p>
    <w:p w14:paraId="476E6D1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受托人解任事件：</w:t>
      </w:r>
      <w:r>
        <w:rPr>
          <w:rFonts w:ascii="Times New Roman" w:hAnsi="Times New Roman" w:eastAsia="楷体_GB2312"/>
          <w:bCs/>
          <w:sz w:val="24"/>
        </w:rPr>
        <w:t>系指以下任一事件：</w:t>
      </w:r>
    </w:p>
    <w:p w14:paraId="725BE56B">
      <w:pPr>
        <w:numPr>
          <w:ilvl w:val="0"/>
          <w:numId w:val="18"/>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“受托人”违反“信托”目的处分“信托财产”或者管理、处分“信托财产”有重大过失的，违背其在“《信托合同》”项下的职责，“资产支持证券持有人大会”决议解任“受托人”的；</w:t>
      </w:r>
    </w:p>
    <w:p w14:paraId="4A7D2073">
      <w:pPr>
        <w:numPr>
          <w:ilvl w:val="0"/>
          <w:numId w:val="18"/>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“受托人”未能实质性遵守或履行“《信托合同》”或其他“交易文件”中</w:t>
      </w:r>
      <w:r>
        <w:rPr>
          <w:rFonts w:hint="eastAsia" w:ascii="Times New Roman" w:hAnsi="Times New Roman" w:eastAsia="楷体_GB2312"/>
          <w:sz w:val="24"/>
          <w:szCs w:val="28"/>
        </w:rPr>
        <w:t>约定</w:t>
      </w:r>
      <w:r>
        <w:rPr>
          <w:rFonts w:ascii="Times New Roman" w:hAnsi="Times New Roman" w:eastAsia="楷体_GB2312"/>
          <w:sz w:val="24"/>
          <w:szCs w:val="28"/>
        </w:rPr>
        <w:t>的有关“受托人”的承诺或义务；</w:t>
      </w:r>
    </w:p>
    <w:p w14:paraId="3D52A8E1">
      <w:pPr>
        <w:numPr>
          <w:ilvl w:val="0"/>
          <w:numId w:val="18"/>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“受托人”实质性地违反其在“《信托合同》”或“交易文件”中所作的任何陈述和保证；</w:t>
      </w:r>
    </w:p>
    <w:p w14:paraId="2725960F">
      <w:pPr>
        <w:numPr>
          <w:ilvl w:val="0"/>
          <w:numId w:val="18"/>
        </w:numPr>
        <w:spacing w:before="156" w:beforeLines="50" w:after="156" w:afterLines="50" w:line="360" w:lineRule="auto"/>
        <w:ind w:left="1274" w:leftChars="405" w:hanging="424" w:hangingChars="177"/>
        <w:rPr>
          <w:rFonts w:ascii="Times New Roman" w:hAnsi="Times New Roman" w:eastAsia="楷体_GB2312"/>
          <w:sz w:val="24"/>
          <w:szCs w:val="28"/>
        </w:rPr>
      </w:pPr>
      <w:bookmarkStart w:id="48" w:name="_DV_M788"/>
      <w:bookmarkEnd w:id="48"/>
      <w:r>
        <w:rPr>
          <w:rFonts w:ascii="Times New Roman" w:hAnsi="Times New Roman" w:eastAsia="楷体_GB2312"/>
          <w:sz w:val="24"/>
          <w:szCs w:val="28"/>
        </w:rPr>
        <w:t>“受托人”不再符合“受托人合格标准”；</w:t>
      </w:r>
    </w:p>
    <w:p w14:paraId="67FA7A83">
      <w:pPr>
        <w:numPr>
          <w:ilvl w:val="0"/>
          <w:numId w:val="18"/>
        </w:numPr>
        <w:spacing w:before="156" w:beforeLines="50" w:after="156" w:afterLines="50" w:line="360" w:lineRule="auto"/>
        <w:ind w:left="1274" w:leftChars="405" w:hanging="424" w:hangingChars="177"/>
        <w:rPr>
          <w:rFonts w:ascii="Times New Roman" w:hAnsi="Times New Roman" w:eastAsia="楷体_GB2312"/>
          <w:sz w:val="24"/>
          <w:szCs w:val="28"/>
        </w:rPr>
      </w:pPr>
      <w:bookmarkStart w:id="49" w:name="_DV_M789"/>
      <w:bookmarkEnd w:id="49"/>
      <w:r>
        <w:rPr>
          <w:rFonts w:ascii="Times New Roman" w:hAnsi="Times New Roman" w:eastAsia="楷体_GB2312"/>
          <w:sz w:val="24"/>
          <w:szCs w:val="28"/>
        </w:rPr>
        <w:t>“受托人”发生任何任一“丧失清偿能力事件”；</w:t>
      </w:r>
    </w:p>
    <w:p w14:paraId="0F3AF538">
      <w:pPr>
        <w:numPr>
          <w:ilvl w:val="0"/>
          <w:numId w:val="18"/>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因欺诈、违约、故意不当行为或疏忽被“资产支持证券持有人大会”解任。</w:t>
      </w:r>
    </w:p>
    <w:p w14:paraId="643DC082">
      <w:pPr>
        <w:spacing w:before="156" w:beforeLines="50" w:after="156" w:afterLines="50" w:line="360" w:lineRule="auto"/>
        <w:ind w:left="1275"/>
        <w:rPr>
          <w:rFonts w:ascii="Times New Roman" w:hAnsi="Times New Roman" w:eastAsia="楷体_GB2312"/>
          <w:sz w:val="24"/>
          <w:szCs w:val="28"/>
        </w:rPr>
      </w:pPr>
      <w:r>
        <w:rPr>
          <w:rFonts w:hint="eastAsia" w:eastAsia="楷体_GB2312"/>
          <w:b/>
          <w:bCs/>
          <w:i/>
          <w:iCs/>
          <w:color w:val="FF0000"/>
          <w:kern w:val="0"/>
          <w:sz w:val="24"/>
        </w:rPr>
        <w:t>【注：如果受托人发生任一丧失清偿能力事件导致受托机构终止的，则应认定为受托机构终止事件。】</w:t>
      </w:r>
    </w:p>
    <w:p w14:paraId="63DE21F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贷款服务机构解任事件：</w:t>
      </w:r>
      <w:r>
        <w:rPr>
          <w:rFonts w:ascii="Times New Roman" w:hAnsi="Times New Roman" w:eastAsia="楷体_GB2312"/>
          <w:bCs/>
          <w:sz w:val="24"/>
        </w:rPr>
        <w:t>系指以下任一事件：</w:t>
      </w:r>
    </w:p>
    <w:p w14:paraId="5BC9B22F">
      <w:pPr>
        <w:numPr>
          <w:ilvl w:val="0"/>
          <w:numId w:val="1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贷款服务机构”未能于“回收款转付日”根据“《服务合同》”按时付款（除非由于“贷款服务机构”不能控制的技术故障、计算机故障或电汇支付系统故障导致未能及时付款，而使该付款到期日顺延），或者在该“贷款服务机构”不能控制的故障排除后的【】个“工作日”内仍未付款；</w:t>
      </w:r>
    </w:p>
    <w:p w14:paraId="63C58A6A">
      <w:pPr>
        <w:numPr>
          <w:ilvl w:val="0"/>
          <w:numId w:val="1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“贷款服务机构”停止或明确表示将停止其全部或实质部分的</w:t>
      </w:r>
      <w:bookmarkStart w:id="50" w:name="_Hlk221906183"/>
      <w:r>
        <w:rPr>
          <w:rFonts w:ascii="Times New Roman" w:hAnsi="Times New Roman" w:eastAsia="楷体_GB2312"/>
          <w:sz w:val="24"/>
          <w:szCs w:val="28"/>
        </w:rPr>
        <w:t>【个人消费贷款/信用卡】</w:t>
      </w:r>
      <w:bookmarkEnd w:id="50"/>
      <w:r>
        <w:rPr>
          <w:rFonts w:ascii="Times New Roman" w:hAnsi="Times New Roman" w:eastAsia="楷体_GB2312"/>
          <w:sz w:val="24"/>
          <w:szCs w:val="28"/>
        </w:rPr>
        <w:t>业务，且该等业务未由继受其【个人消费贷款/信用卡】业务的继受机构继承；</w:t>
      </w:r>
    </w:p>
    <w:p w14:paraId="2C5C0071">
      <w:pPr>
        <w:numPr>
          <w:ilvl w:val="0"/>
          <w:numId w:val="1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发生与“贷款服务机构”有关的“丧失清偿能力事件”；</w:t>
      </w:r>
    </w:p>
    <w:p w14:paraId="6089B329">
      <w:pPr>
        <w:numPr>
          <w:ilvl w:val="0"/>
          <w:numId w:val="1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贷款服务机构”未能保持履行“《服务合同》”项下实质性义务所需的资格、许可、批准、授权和/或同意，或上述资格、许可、批准、授权和/或同意被中止、收回或撤销，且该等资格、许可、批准、授权和/或同意未由继受其【个人消费贷款/信用卡】业务的继受机构取得或继承；</w:t>
      </w:r>
    </w:p>
    <w:p w14:paraId="1DAB0A02">
      <w:pPr>
        <w:numPr>
          <w:ilvl w:val="0"/>
          <w:numId w:val="1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贷款服务机构”未能于“服务机构报告日”当日或之前交付相关“收款期间”的“贷款服务机构月度报告”（除非由于“贷款服务机构”不能控制的技术故障、计算机故障或电汇支付系统故障导致未能及时提供，而使“贷款服务机构”提供“贷款服务机构报告”的日期延后），或者在该“贷款服务机构”不能控制的故障排除后的【】个“工作日”内仍未提交；</w:t>
      </w:r>
    </w:p>
    <w:p w14:paraId="45ABA799">
      <w:pPr>
        <w:numPr>
          <w:ilvl w:val="0"/>
          <w:numId w:val="1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贷款服务机构”严重违反：（i）除付款义务和提供报告义务以外的其他义务；（ii）“贷款服务机构”在“交易文件”中所做的任何陈述和保证，且在“贷款服务机构”实际得知（不管是否收到“受托人”的通知）该等违约行为后，该行为仍持续超过【】个“工作日”，以致对“资产池”的回收产生“重大不利影响”；</w:t>
      </w:r>
    </w:p>
    <w:p w14:paraId="65496D40">
      <w:pPr>
        <w:numPr>
          <w:ilvl w:val="0"/>
          <w:numId w:val="1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“资产支持证券持有人大会”合理认为已经发生与“贷款服务机构”有关的“重大不利变化”；</w:t>
      </w:r>
    </w:p>
    <w:p w14:paraId="4CF113D4">
      <w:pPr>
        <w:numPr>
          <w:ilvl w:val="0"/>
          <w:numId w:val="1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仅在“【发起机构简称】”为“贷款服务机构”时，“贷款服务机构”在“信托设立日”（适用于初始“资产”）或“持续购买日”（适用于新增“资产”）后【】日内，未能按照“受托人”的要求，对“《服务合同》”指明的所有“账户记录”原件以及与上述“账户记录”相关的所有文件按“《服务合同》”的约定进行保管；</w:t>
      </w:r>
    </w:p>
    <w:p w14:paraId="57929537">
      <w:pPr>
        <w:numPr>
          <w:ilvl w:val="0"/>
          <w:numId w:val="19"/>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在将“对贷款服务机构</w:t>
      </w:r>
      <w:r>
        <w:rPr>
          <w:rFonts w:hint="eastAsia" w:ascii="Times New Roman" w:hAnsi="Times New Roman" w:eastAsia="楷体_GB2312"/>
          <w:sz w:val="24"/>
          <w:szCs w:val="28"/>
        </w:rPr>
        <w:t>月度</w:t>
      </w:r>
      <w:r>
        <w:rPr>
          <w:rFonts w:ascii="Times New Roman" w:hAnsi="Times New Roman" w:eastAsia="楷体_GB2312"/>
          <w:sz w:val="24"/>
          <w:szCs w:val="28"/>
        </w:rPr>
        <w:t>报告执行商定程序的报告”的审阅结果书面通知“贷款服务机构”后的【】日内，“受托人”合理地认为：（i）“贷款服务机构”已经实质性违反其在任何“交易文件”中所做的陈述或保证；或（ii）审阅结果无法令人满意时，“受托人”应立即通知“贷款服务机构”。“贷款服务机构”在接到该通知后【】个工作日内应向“受托人”书面出具回复意见。如果“受托人”对“贷款服务机构”的书面回复意见仍不满意，则“受托人”将上述相关事项提交“资产支持证券持有人大会”决议，且“资产支持证券持有人大会”合理认为已经发生“重大不利影响”。</w:t>
      </w:r>
    </w:p>
    <w:p w14:paraId="2D7339B8">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资金保管机构解任事件：</w:t>
      </w:r>
      <w:r>
        <w:rPr>
          <w:rFonts w:ascii="Times New Roman" w:hAnsi="Times New Roman" w:eastAsia="楷体_GB2312"/>
          <w:bCs/>
          <w:sz w:val="24"/>
        </w:rPr>
        <w:t>系指以下任一事件：</w:t>
      </w:r>
    </w:p>
    <w:p w14:paraId="387A2069">
      <w:pPr>
        <w:numPr>
          <w:ilvl w:val="0"/>
          <w:numId w:val="20"/>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“资金保管机构”被依法取消了资产证券化资金保管机构的资格；</w:t>
      </w:r>
    </w:p>
    <w:p w14:paraId="403A2A72">
      <w:pPr>
        <w:numPr>
          <w:ilvl w:val="0"/>
          <w:numId w:val="20"/>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除“《资金保管合同》”另有</w:t>
      </w:r>
      <w:r>
        <w:rPr>
          <w:rFonts w:hint="eastAsia" w:ascii="Times New Roman" w:hAnsi="Times New Roman" w:eastAsia="楷体_GB2312"/>
          <w:sz w:val="24"/>
          <w:szCs w:val="28"/>
        </w:rPr>
        <w:t>约定</w:t>
      </w:r>
      <w:r>
        <w:rPr>
          <w:rFonts w:ascii="Times New Roman" w:hAnsi="Times New Roman" w:eastAsia="楷体_GB2312"/>
          <w:sz w:val="24"/>
          <w:szCs w:val="28"/>
        </w:rPr>
        <w:t>以外，“资金保管机构”没有根据“《资金保管合同》”的</w:t>
      </w:r>
      <w:r>
        <w:rPr>
          <w:rFonts w:hint="eastAsia" w:ascii="Times New Roman" w:hAnsi="Times New Roman" w:eastAsia="楷体_GB2312"/>
          <w:sz w:val="24"/>
          <w:szCs w:val="28"/>
        </w:rPr>
        <w:t>约定</w:t>
      </w:r>
      <w:r>
        <w:rPr>
          <w:rFonts w:ascii="Times New Roman" w:hAnsi="Times New Roman" w:eastAsia="楷体_GB2312"/>
          <w:sz w:val="24"/>
          <w:szCs w:val="28"/>
        </w:rPr>
        <w:t>，按照“受托人”的指令转付“信托账户”中的资金，且经“受托人”书面通知后【】个“工作日”内，仍未纠正的；</w:t>
      </w:r>
    </w:p>
    <w:p w14:paraId="127B2A23">
      <w:pPr>
        <w:numPr>
          <w:ilvl w:val="0"/>
          <w:numId w:val="20"/>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“资金保管机构”实质性地违反了其在“《资金保管合同》”项下除资金拨付之外的任何其他义务，且该等违约行为自发生之日起持续超过【】个“工作日”；</w:t>
      </w:r>
    </w:p>
    <w:p w14:paraId="1A0C4893">
      <w:pPr>
        <w:numPr>
          <w:ilvl w:val="0"/>
          <w:numId w:val="20"/>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“资金保管机构”在“《资金保管合同》”或其提交的其他文件中所作的任何陈述、证明或保证，被证明在做出时在任何重要方面是虚假或错误的；</w:t>
      </w:r>
    </w:p>
    <w:p w14:paraId="6448EA4B">
      <w:pPr>
        <w:numPr>
          <w:ilvl w:val="0"/>
          <w:numId w:val="20"/>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“资金保管机构”不具备任一“必备评级等级”；</w:t>
      </w:r>
    </w:p>
    <w:p w14:paraId="5C51369B">
      <w:pPr>
        <w:numPr>
          <w:ilvl w:val="0"/>
          <w:numId w:val="20"/>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发生与“资金保管机构”有关的“丧失清偿能力事件”。</w:t>
      </w:r>
    </w:p>
    <w:p w14:paraId="32A8BFB6">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权利完善通知：</w:t>
      </w:r>
      <w:r>
        <w:rPr>
          <w:rFonts w:ascii="Times New Roman" w:hAnsi="Times New Roman" w:eastAsia="楷体_GB2312"/>
          <w:bCs/>
          <w:sz w:val="24"/>
        </w:rPr>
        <w:t>系指为完善“受托机构”在“资产”中的全部或部分权益而向“借款人”、担保人（如有）递交的通知。该通知须采用“《信托合同》”【附件三】、“《资产持续购买合同》”附件【】所</w:t>
      </w:r>
      <w:r>
        <w:rPr>
          <w:rFonts w:hint="eastAsia" w:ascii="Times New Roman" w:hAnsi="Times New Roman" w:eastAsia="楷体_GB2312"/>
          <w:sz w:val="24"/>
          <w:szCs w:val="28"/>
        </w:rPr>
        <w:t>约定</w:t>
      </w:r>
      <w:r>
        <w:rPr>
          <w:rFonts w:ascii="Times New Roman" w:hAnsi="Times New Roman" w:eastAsia="楷体_GB2312"/>
          <w:bCs/>
          <w:sz w:val="24"/>
        </w:rPr>
        <w:t>的格式或其他届时应适用的“法律”所认可的格式。</w:t>
      </w:r>
    </w:p>
    <w:p w14:paraId="0ECF7612">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丧失清偿能力事件：</w:t>
      </w:r>
      <w:r>
        <w:rPr>
          <w:rFonts w:ascii="Times New Roman" w:hAnsi="Times New Roman" w:eastAsia="楷体_GB2312"/>
          <w:bCs/>
          <w:sz w:val="24"/>
        </w:rPr>
        <w:t>就“委托人”、“受托人”、“贷款服务机构”、“后备贷款服务机构”及“资金保管机构”而言，系指以下任一事件：</w:t>
      </w:r>
    </w:p>
    <w:p w14:paraId="47F158EB">
      <w:pPr>
        <w:numPr>
          <w:ilvl w:val="0"/>
          <w:numId w:val="2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经国务院金融监督管理机构（如“金融监管总局”，下同）同意，上述机构向人民法院提交破产申请，或国务院金融监督管理机构向人民法院提出对上述机构进行重整或破产清算的申请；</w:t>
      </w:r>
    </w:p>
    <w:p w14:paraId="10ED1B0C">
      <w:pPr>
        <w:numPr>
          <w:ilvl w:val="0"/>
          <w:numId w:val="2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其债权人向人民法院申请宣布上述机构破产且该等申请未在【】个“工作日”内被驳回或撤诉；</w:t>
      </w:r>
    </w:p>
    <w:p w14:paraId="73334F82">
      <w:pPr>
        <w:numPr>
          <w:ilvl w:val="0"/>
          <w:numId w:val="2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上述机构因分立、合并或出现公司章程规定的解散事由，向国务院金融业监管机构申请解散；</w:t>
      </w:r>
    </w:p>
    <w:p w14:paraId="127E1841">
      <w:pPr>
        <w:numPr>
          <w:ilvl w:val="0"/>
          <w:numId w:val="2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国务院金融业监管机构根据《金融机构撤销条例》规定责令上述机构解散；</w:t>
      </w:r>
    </w:p>
    <w:p w14:paraId="0A7529FE">
      <w:pPr>
        <w:numPr>
          <w:ilvl w:val="0"/>
          <w:numId w:val="2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国务院金融业监管机构公告将上述机构接管；</w:t>
      </w:r>
    </w:p>
    <w:p w14:paraId="4BD8A77A">
      <w:pPr>
        <w:numPr>
          <w:ilvl w:val="0"/>
          <w:numId w:val="2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上述机构不能或宣布不能按期偿付债务；或根据应适用的“法律”被视为不能按期偿付债务；或</w:t>
      </w:r>
    </w:p>
    <w:p w14:paraId="519DC19F">
      <w:pPr>
        <w:numPr>
          <w:ilvl w:val="0"/>
          <w:numId w:val="21"/>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上述机构停止或威胁停止继续经营其主营业务。</w:t>
      </w:r>
    </w:p>
    <w:p w14:paraId="2C19C37C">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重大不利变化：</w:t>
      </w:r>
      <w:r>
        <w:rPr>
          <w:rFonts w:ascii="Times New Roman" w:hAnsi="Times New Roman" w:eastAsia="楷体_GB2312"/>
          <w:bCs/>
          <w:sz w:val="24"/>
        </w:rPr>
        <w:t>系指任何自然人、合伙、有限责任公司、股份有限公司、信托（包括商业信托）、非公司制团体、合资企业、企业法人、政府实体或其他任何实体的法律地位、财务状况、资产或业务前景的不利变化，这些变化对其履行“交易文件”项下义务的能力产生“重大不利影响”。</w:t>
      </w:r>
    </w:p>
    <w:p w14:paraId="736D33E6">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重大不利影响：</w:t>
      </w:r>
      <w:r>
        <w:rPr>
          <w:rFonts w:ascii="Times New Roman" w:hAnsi="Times New Roman" w:eastAsia="楷体_GB2312"/>
          <w:bCs/>
          <w:sz w:val="24"/>
        </w:rPr>
        <w:t>系指根据“受托人”或“资产支持证券持有人大会”的合理判断，可能对以下一项或多项产生重大不利影响的事件、情况、监管行为、制裁或罚款：(a)“资产”的可回收性；(b)“委托人”或“贷款服务机构”的财务或其他状况、业务或财产，或(c)“委托人”、“受托人”、“贷款服务机构”、“资金保管机构”、“登记托管机构”、“支付代理机构”履行其在“交易文件”下各自义务的能力；(d)“资产支持证券持有人”的权益；(e)“信托”或“信托财产”。</w:t>
      </w:r>
    </w:p>
    <w:p w14:paraId="3F6D062D">
      <w:pPr>
        <w:spacing w:before="156" w:beforeLines="50" w:after="156" w:afterLines="50" w:line="360" w:lineRule="auto"/>
        <w:rPr>
          <w:rFonts w:ascii="Times New Roman" w:hAnsi="Times New Roman" w:eastAsia="楷体_GB2312"/>
          <w:b/>
          <w:kern w:val="0"/>
          <w:sz w:val="24"/>
        </w:rPr>
      </w:pPr>
      <w:r>
        <w:rPr>
          <w:rFonts w:ascii="Times New Roman" w:hAnsi="Times New Roman" w:eastAsia="楷体_GB2312"/>
          <w:b/>
          <w:kern w:val="0"/>
          <w:sz w:val="24"/>
        </w:rPr>
        <w:t>2、项目涉及的与指标有关的定义</w:t>
      </w:r>
    </w:p>
    <w:p w14:paraId="5492BD7E">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受托人合格标准：</w:t>
      </w:r>
      <w:r>
        <w:rPr>
          <w:rFonts w:ascii="Times New Roman" w:hAnsi="Times New Roman" w:eastAsia="楷体_GB2312"/>
          <w:bCs/>
          <w:sz w:val="24"/>
        </w:rPr>
        <w:t>系指符合以下要求的信托公司：</w:t>
      </w:r>
    </w:p>
    <w:p w14:paraId="1C7C801D">
      <w:pPr>
        <w:numPr>
          <w:ilvl w:val="0"/>
          <w:numId w:val="22"/>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具有“金融监管总局”颁发的金融许可证；</w:t>
      </w:r>
    </w:p>
    <w:p w14:paraId="6F4B9D3E">
      <w:pPr>
        <w:numPr>
          <w:ilvl w:val="0"/>
          <w:numId w:val="22"/>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经“金融监管总局”批准具有特定目的信托受托机构资格；</w:t>
      </w:r>
    </w:p>
    <w:p w14:paraId="42DC4304">
      <w:pPr>
        <w:numPr>
          <w:ilvl w:val="0"/>
          <w:numId w:val="22"/>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“金融监管总局”和“人民银行”规定的其他条件；及</w:t>
      </w:r>
    </w:p>
    <w:p w14:paraId="1703D516">
      <w:pPr>
        <w:numPr>
          <w:ilvl w:val="0"/>
          <w:numId w:val="22"/>
        </w:numPr>
        <w:spacing w:before="156" w:beforeLines="50" w:after="156" w:afterLines="50" w:line="360" w:lineRule="auto"/>
        <w:ind w:left="1274" w:leftChars="405" w:hanging="424" w:hangingChars="177"/>
        <w:rPr>
          <w:rFonts w:ascii="Times New Roman" w:hAnsi="Times New Roman" w:eastAsia="楷体_GB2312"/>
          <w:sz w:val="24"/>
          <w:szCs w:val="28"/>
        </w:rPr>
      </w:pPr>
      <w:r>
        <w:rPr>
          <w:rFonts w:ascii="Times New Roman" w:hAnsi="Times New Roman" w:eastAsia="楷体_GB2312"/>
          <w:sz w:val="24"/>
          <w:szCs w:val="28"/>
        </w:rPr>
        <w:t>经“资产支持证券持有人大会”认可（初始“受托人”除外）。</w:t>
      </w:r>
    </w:p>
    <w:p w14:paraId="09125E4C">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合格实体：</w:t>
      </w:r>
      <w:r>
        <w:rPr>
          <w:rFonts w:ascii="Times New Roman" w:hAnsi="Times New Roman" w:eastAsia="楷体_GB2312"/>
          <w:bCs/>
          <w:sz w:val="24"/>
        </w:rPr>
        <w:t>就“【评级机构1简称】”而言，系指主体长期信用等级高于或等于【】的商业银行；就“【评级机构2简称】”而言，系指主体长期信用等级高于或等于【】的商业银行。如果“【评级机构</w:t>
      </w:r>
      <w:r>
        <w:rPr>
          <w:rFonts w:hint="eastAsia" w:ascii="Times New Roman" w:hAnsi="Times New Roman" w:eastAsia="楷体_GB2312"/>
          <w:bCs/>
          <w:sz w:val="24"/>
        </w:rPr>
        <w:t>1</w:t>
      </w:r>
      <w:r>
        <w:rPr>
          <w:rFonts w:ascii="Times New Roman" w:hAnsi="Times New Roman" w:eastAsia="楷体_GB2312"/>
          <w:bCs/>
          <w:sz w:val="24"/>
        </w:rPr>
        <w:t>简称】”或“【评级机构</w:t>
      </w:r>
      <w:r>
        <w:rPr>
          <w:rFonts w:hint="eastAsia" w:ascii="Times New Roman" w:hAnsi="Times New Roman" w:eastAsia="楷体_GB2312"/>
          <w:bCs/>
          <w:sz w:val="24"/>
        </w:rPr>
        <w:t>2</w:t>
      </w:r>
      <w:r>
        <w:rPr>
          <w:rFonts w:ascii="Times New Roman" w:hAnsi="Times New Roman" w:eastAsia="楷体_GB2312"/>
          <w:bCs/>
          <w:sz w:val="24"/>
        </w:rPr>
        <w:t>简称】”一方暂时无法提供主体长期信用等级时，则以另一方提供的主体长期信用等级为准。</w:t>
      </w:r>
    </w:p>
    <w:p w14:paraId="20B8510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累计违约率：</w:t>
      </w:r>
      <w:r>
        <w:rPr>
          <w:rFonts w:ascii="Times New Roman" w:hAnsi="Times New Roman" w:eastAsia="楷体_GB2312"/>
          <w:bCs/>
          <w:sz w:val="24"/>
        </w:rPr>
        <w:t>就某一“收款期间”而言，“资产池”的“累计违约率”系指A除以B所得的百分比，其中，A为该“收款期间”期末以及之前各“收款期间”期末的所有“违约贷款”的“未偿本金余额”之和（为避免疑义，同一笔“违约贷款”的“未偿本金余额”不累计计算，以其最早被统计的“收款期间”期末的“未偿本金余额”为准），B为“初始起算日资产池余额”。若该“收款期间”在“持续购买期”内，B为“初始起算日资产池余额”及截至该“收款期间”期末“受托人”累计持续购买的新增“资产”在各自相应的“持续购买基准日”</w:t>
      </w:r>
      <w:r>
        <w:rPr>
          <w:rFonts w:ascii="Times New Roman" w:hAnsi="Times New Roman" w:eastAsia="楷体_GB2312"/>
          <w:bCs/>
          <w:i/>
          <w:iCs/>
          <w:sz w:val="24"/>
        </w:rPr>
        <w:t>【具体时点】</w:t>
      </w:r>
      <w:r>
        <w:rPr>
          <w:rFonts w:ascii="Times New Roman" w:hAnsi="Times New Roman" w:eastAsia="楷体_GB2312"/>
          <w:bCs/>
          <w:sz w:val="24"/>
        </w:rPr>
        <w:t>的“未偿本金余额”之和；若该“收款期间”在“摊还期”内，B为“初始起算日资产池余额”及“持续购买期”结束时“受托人”累计持续购买的新增“资产”在各自相应的“持续购买基准日”</w:t>
      </w:r>
      <w:r>
        <w:rPr>
          <w:rFonts w:ascii="Times New Roman" w:hAnsi="Times New Roman" w:eastAsia="楷体_GB2312"/>
          <w:bCs/>
          <w:i/>
          <w:iCs/>
          <w:sz w:val="24"/>
        </w:rPr>
        <w:t>【具体时点】</w:t>
      </w:r>
      <w:r>
        <w:rPr>
          <w:rFonts w:ascii="Times New Roman" w:hAnsi="Times New Roman" w:eastAsia="楷体_GB2312"/>
          <w:bCs/>
          <w:sz w:val="24"/>
        </w:rPr>
        <w:t>的“未偿本金余额”之和。</w:t>
      </w:r>
    </w:p>
    <w:p w14:paraId="5A08E44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必备评级等级：</w:t>
      </w:r>
      <w:r>
        <w:rPr>
          <w:rFonts w:ascii="Times New Roman" w:hAnsi="Times New Roman" w:eastAsia="楷体_GB2312"/>
          <w:bCs/>
          <w:sz w:val="24"/>
        </w:rPr>
        <w:t>就“【评级机构1简称】”的评级系统而言，系指【】级的主体长期信用等级；就“【评级机构2简称】”的评级系统而言，系指【】级的主体长期信用等级。</w:t>
      </w:r>
    </w:p>
    <w:p w14:paraId="2229C81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优先支出上限：</w:t>
      </w:r>
      <w:r>
        <w:rPr>
          <w:rFonts w:ascii="Times New Roman" w:hAnsi="Times New Roman" w:eastAsia="楷体_GB2312"/>
          <w:bCs/>
          <w:sz w:val="24"/>
        </w:rPr>
        <w:t>系指根据“《信托合同》”的约定，在各“信托分配日”可以优先于“优先级资产支持证券”利息进行支付的“费用支出”的限额，即人民币【】万元。</w:t>
      </w:r>
    </w:p>
    <w:p w14:paraId="37ECF2F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初始起算日资产池余额：</w:t>
      </w:r>
      <w:r>
        <w:rPr>
          <w:rFonts w:ascii="Times New Roman" w:hAnsi="Times New Roman" w:eastAsia="楷体_GB2312"/>
          <w:bCs/>
          <w:sz w:val="24"/>
        </w:rPr>
        <w:t>系指“资产池”中全部“贷款”的“初始起算日本金余额”之和。</w:t>
      </w:r>
    </w:p>
    <w:p w14:paraId="1831CFD0">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初始起算日本金余额：</w:t>
      </w:r>
      <w:r>
        <w:rPr>
          <w:rFonts w:ascii="Times New Roman" w:hAnsi="Times New Roman" w:eastAsia="楷体_GB2312"/>
          <w:bCs/>
          <w:sz w:val="24"/>
        </w:rPr>
        <w:t>系指每笔“贷款”截至“初始起算日”</w:t>
      </w:r>
      <w:r>
        <w:rPr>
          <w:rFonts w:ascii="Times New Roman" w:hAnsi="Times New Roman" w:eastAsia="楷体_GB2312"/>
          <w:bCs/>
          <w:i/>
          <w:iCs/>
          <w:color w:val="000000" w:themeColor="text1"/>
          <w:sz w:val="24"/>
          <w14:textFill>
            <w14:solidFill>
              <w14:schemeClr w14:val="tx1"/>
            </w14:solidFill>
          </w14:textFill>
        </w:rPr>
        <w:t>【</w:t>
      </w:r>
      <w:r>
        <w:rPr>
          <w:rFonts w:ascii="Times New Roman" w:hAnsi="Times New Roman" w:eastAsia="楷体_GB2312"/>
          <w:i/>
          <w:iCs/>
          <w:color w:val="000000" w:themeColor="text1"/>
          <w:kern w:val="0"/>
          <w:sz w:val="24"/>
          <w14:textFill>
            <w14:solidFill>
              <w14:schemeClr w14:val="tx1"/>
            </w14:solidFill>
          </w14:textFill>
        </w:rPr>
        <w:t>具体时点</w:t>
      </w:r>
      <w:r>
        <w:rPr>
          <w:rFonts w:ascii="Times New Roman" w:hAnsi="Times New Roman" w:eastAsia="楷体_GB2312"/>
          <w:bCs/>
          <w:i/>
          <w:iCs/>
          <w:color w:val="000000" w:themeColor="text1"/>
          <w:sz w:val="24"/>
          <w14:textFill>
            <w14:solidFill>
              <w14:schemeClr w14:val="tx1"/>
            </w14:solidFill>
          </w14:textFill>
        </w:rPr>
        <w:t>】</w:t>
      </w:r>
      <w:r>
        <w:rPr>
          <w:rFonts w:ascii="Times New Roman" w:hAnsi="Times New Roman" w:eastAsia="楷体_GB2312"/>
          <w:bCs/>
          <w:sz w:val="24"/>
        </w:rPr>
        <w:t>时的“未偿本金余额”。</w:t>
      </w:r>
    </w:p>
    <w:p w14:paraId="49FE2F7C">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未偿本金余额：</w:t>
      </w:r>
      <w:r>
        <w:rPr>
          <w:rFonts w:ascii="Times New Roman" w:hAnsi="Times New Roman" w:eastAsia="楷体_GB2312"/>
          <w:bCs/>
          <w:sz w:val="24"/>
        </w:rPr>
        <w:t>就某一日期相对于每一笔“贷款”而言，系指A-B：A指其“初始起算日”本金余额（适用于初始“资产”，下同）或“持续购买基准日”本金余额（适用于新增“资产”，下同）；B指自“初始起算日”或“持续购买基准日”之后起至该日之前，有关该笔“贷款”的所有已经偿还的本金。就某一日期相对于各级“资产支持证券”而言，系指A-B：A指“信托设立日”该档“资产支持证券”的本金余额；B指自“信托设立日”之后起至该日之前，有关该档“资产支持证券”的所有已经偿还的本金。</w:t>
      </w:r>
    </w:p>
    <w:p w14:paraId="3770887B">
      <w:pPr>
        <w:numPr>
          <w:ilvl w:val="1"/>
          <w:numId w:val="3"/>
        </w:numPr>
        <w:tabs>
          <w:tab w:val="left" w:pos="851"/>
          <w:tab w:val="left" w:pos="1145"/>
          <w:tab w:val="clear" w:pos="720"/>
        </w:tabs>
        <w:spacing w:before="156" w:beforeLines="50" w:after="156" w:afterLines="50" w:line="360" w:lineRule="auto"/>
        <w:ind w:left="851" w:hanging="851"/>
        <w:rPr>
          <w:rFonts w:ascii="Times New Roman" w:hAnsi="Times New Roman" w:eastAsia="楷体_GB2312"/>
          <w:bCs/>
          <w:color w:val="000000" w:themeColor="text1"/>
          <w:sz w:val="24"/>
          <w14:textFill>
            <w14:solidFill>
              <w14:schemeClr w14:val="tx1"/>
            </w14:solidFill>
          </w14:textFill>
        </w:rPr>
      </w:pPr>
      <w:r>
        <w:rPr>
          <w:rFonts w:ascii="Times New Roman" w:hAnsi="Times New Roman" w:eastAsia="楷体_GB2312"/>
          <w:b/>
          <w:color w:val="000000" w:themeColor="text1"/>
          <w:sz w:val="24"/>
          <w14:textFill>
            <w14:solidFill>
              <w14:schemeClr w14:val="tx1"/>
            </w14:solidFill>
          </w14:textFill>
        </w:rPr>
        <w:t>未偿</w:t>
      </w:r>
      <w:r>
        <w:rPr>
          <w:rFonts w:ascii="Times New Roman" w:hAnsi="Times New Roman" w:eastAsia="楷体_GB2312"/>
          <w:b/>
          <w:bCs/>
          <w:color w:val="000000" w:themeColor="text1"/>
          <w:sz w:val="24"/>
          <w14:textFill>
            <w14:solidFill>
              <w14:schemeClr w14:val="tx1"/>
            </w14:solidFill>
          </w14:textFill>
        </w:rPr>
        <w:t>资产池余额</w:t>
      </w:r>
      <w:r>
        <w:rPr>
          <w:rFonts w:ascii="Times New Roman" w:hAnsi="Times New Roman" w:eastAsia="楷体_GB2312"/>
          <w:bCs/>
          <w:color w:val="000000" w:themeColor="text1"/>
          <w:sz w:val="24"/>
          <w14:textFill>
            <w14:solidFill>
              <w14:schemeClr w14:val="tx1"/>
            </w14:solidFill>
          </w14:textFill>
        </w:rPr>
        <w:t>：</w:t>
      </w:r>
      <w:r>
        <w:rPr>
          <w:rFonts w:ascii="Times New Roman" w:hAnsi="Times New Roman" w:eastAsia="楷体_GB2312"/>
          <w:b/>
          <w:bCs/>
          <w:i/>
          <w:iCs/>
          <w:color w:val="FF0000"/>
          <w:sz w:val="24"/>
        </w:rPr>
        <w:t>【适用于“个人消费贷款”】</w:t>
      </w:r>
      <w:r>
        <w:rPr>
          <w:rFonts w:ascii="Times New Roman" w:hAnsi="Times New Roman" w:eastAsia="楷体_GB2312"/>
          <w:bCs/>
          <w:color w:val="000000" w:themeColor="text1"/>
          <w:sz w:val="24"/>
          <w14:textFill>
            <w14:solidFill>
              <w14:schemeClr w14:val="tx1"/>
            </w14:solidFill>
          </w14:textFill>
        </w:rPr>
        <w:t>就某一日期相对于每一笔“资产”而言，系指A-B：A指其“初始起算日资产池余额”；B指自“初始起算日”起至该日之前，有关该笔“资产”的所有已经偿还的本金、利息及其他款项。</w:t>
      </w:r>
    </w:p>
    <w:p w14:paraId="7330A7C1">
      <w:pPr>
        <w:tabs>
          <w:tab w:val="left" w:pos="425"/>
          <w:tab w:val="left" w:pos="720"/>
          <w:tab w:val="left" w:pos="851"/>
        </w:tabs>
        <w:spacing w:before="156" w:beforeLines="50" w:after="156" w:afterLines="50" w:line="360" w:lineRule="auto"/>
        <w:ind w:left="851"/>
        <w:rPr>
          <w:rFonts w:ascii="Times New Roman" w:hAnsi="Times New Roman" w:eastAsia="楷体_GB2312"/>
          <w:bCs/>
          <w:color w:val="000000" w:themeColor="text1"/>
          <w:sz w:val="24"/>
          <w14:textFill>
            <w14:solidFill>
              <w14:schemeClr w14:val="tx1"/>
            </w14:solidFill>
          </w14:textFill>
        </w:rPr>
      </w:pPr>
      <w:r>
        <w:rPr>
          <w:rFonts w:ascii="Times New Roman" w:hAnsi="Times New Roman" w:eastAsia="楷体_GB2312"/>
          <w:b/>
          <w:bCs/>
          <w:i/>
          <w:iCs/>
          <w:color w:val="FF0000"/>
          <w:sz w:val="24"/>
        </w:rPr>
        <w:t>【适用于“信用卡债权”】</w:t>
      </w:r>
      <w:r>
        <w:rPr>
          <w:rFonts w:ascii="Times New Roman" w:hAnsi="Times New Roman" w:eastAsia="楷体_GB2312"/>
          <w:bCs/>
          <w:color w:val="000000" w:themeColor="text1"/>
          <w:sz w:val="24"/>
          <w14:textFill>
            <w14:solidFill>
              <w14:schemeClr w14:val="tx1"/>
            </w14:solidFill>
          </w14:textFill>
        </w:rPr>
        <w:t>就某一日期相对于每一笔“资产”而言，系指A-B-C：A指该“资产”在“初始起算日”的本息费余额，以及自“初始起算日”（含该日）起至该日（不含该日）之前基于前述本息费余额新产生的息费；B指自“初始起算日”（含该日）起至该日（不含该日）之前，有关该笔“资产”的所有已经偿还的本息费；C指自“初始起算日”（含该日）起至该日（不含该日）之前，“贷款服务机构”同意减免的除本金之外的款项的金额。</w:t>
      </w:r>
    </w:p>
    <w:p w14:paraId="2CA0857C">
      <w:pPr>
        <w:tabs>
          <w:tab w:val="left" w:pos="425"/>
          <w:tab w:val="left" w:pos="720"/>
          <w:tab w:val="left" w:pos="851"/>
        </w:tabs>
        <w:spacing w:before="156" w:beforeLines="50" w:after="156" w:afterLines="50" w:line="360" w:lineRule="auto"/>
        <w:ind w:left="851"/>
        <w:rPr>
          <w:rFonts w:ascii="Times New Roman" w:hAnsi="Times New Roman" w:eastAsia="楷体_GB2312"/>
          <w:bCs/>
          <w:color w:val="FF0000"/>
          <w:sz w:val="24"/>
        </w:rPr>
      </w:pPr>
      <w:r>
        <w:rPr>
          <w:rFonts w:ascii="Times New Roman" w:hAnsi="Times New Roman" w:eastAsia="楷体_GB2312"/>
          <w:b/>
          <w:bCs/>
          <w:i/>
          <w:iCs/>
          <w:color w:val="FF0000"/>
          <w:sz w:val="24"/>
        </w:rPr>
        <w:t>【注：</w:t>
      </w:r>
      <w:r>
        <w:rPr>
          <w:rFonts w:hint="eastAsia" w:eastAsia="楷体_GB2312"/>
          <w:b/>
          <w:bCs/>
          <w:i/>
          <w:iCs/>
          <w:color w:val="FF0000"/>
          <w:sz w:val="24"/>
        </w:rPr>
        <w:t>1、</w:t>
      </w:r>
      <w:r>
        <w:rPr>
          <w:rFonts w:eastAsia="楷体_GB2312"/>
          <w:b/>
          <w:bCs/>
          <w:i/>
          <w:iCs/>
          <w:color w:val="FF0000"/>
          <w:sz w:val="24"/>
        </w:rPr>
        <w:t>“初始起算日”</w:t>
      </w:r>
      <w:r>
        <w:rPr>
          <w:rFonts w:hint="eastAsia" w:eastAsia="楷体_GB2312"/>
          <w:b/>
          <w:bCs/>
          <w:i/>
          <w:iCs/>
          <w:color w:val="FF0000"/>
          <w:sz w:val="24"/>
        </w:rPr>
        <w:t>是否包含可以根据具体项目调整；2、</w:t>
      </w:r>
      <w:r>
        <w:rPr>
          <w:rFonts w:ascii="Times New Roman" w:hAnsi="Times New Roman" w:eastAsia="楷体_GB2312"/>
          <w:b/>
          <w:bCs/>
          <w:i/>
          <w:iCs/>
          <w:color w:val="FF0000"/>
          <w:sz w:val="24"/>
        </w:rPr>
        <w:t>未偿本金余额仅指资产池</w:t>
      </w:r>
      <w:r>
        <w:rPr>
          <w:rFonts w:hint="eastAsia" w:ascii="Times New Roman" w:hAnsi="Times New Roman" w:eastAsia="楷体_GB2312"/>
          <w:b/>
          <w:bCs/>
          <w:i/>
          <w:iCs/>
          <w:color w:val="FF0000"/>
          <w:sz w:val="24"/>
        </w:rPr>
        <w:t>的</w:t>
      </w:r>
      <w:r>
        <w:rPr>
          <w:rFonts w:ascii="Times New Roman" w:hAnsi="Times New Roman" w:eastAsia="楷体_GB2312"/>
          <w:b/>
          <w:bCs/>
          <w:i/>
          <w:iCs/>
          <w:color w:val="FF0000"/>
          <w:sz w:val="24"/>
        </w:rPr>
        <w:t>未偿的本金余额，未偿资产池余额指未偿付的资产池本金、利息及费用（如有）之和。可具体结合资产池特征与披露要求灵活使用该等定义。】</w:t>
      </w:r>
    </w:p>
    <w:p w14:paraId="252DAEF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必备（流动性）储备金额：</w:t>
      </w:r>
      <w:r>
        <w:rPr>
          <w:rFonts w:ascii="Times New Roman" w:hAnsi="Times New Roman" w:eastAsia="楷体_GB2312"/>
          <w:bCs/>
          <w:sz w:val="24"/>
        </w:rPr>
        <w:t>系指“《信托合同》”第【10.4】款约定的“流动性储备金账”项下的最高资金限额：（a）</w:t>
      </w:r>
      <w:bookmarkStart w:id="51" w:name="_Hlk98628331"/>
      <w:r>
        <w:rPr>
          <w:rFonts w:ascii="Times New Roman" w:hAnsi="Times New Roman" w:eastAsia="楷体_GB2312"/>
          <w:bCs/>
          <w:sz w:val="24"/>
        </w:rPr>
        <w:t>在“违约事件”发生前或“信托”终止前，且“优先级资产支持证券”全部“未偿本金余额”偿付完毕（包括“优先级资产支持证券”的“未偿本金余额”当期预计可以偿付完毕的情形）前：</w:t>
      </w:r>
      <w:bookmarkEnd w:id="51"/>
      <w:r>
        <w:rPr>
          <w:rFonts w:ascii="Times New Roman" w:hAnsi="Times New Roman" w:eastAsia="楷体_GB2312"/>
          <w:bCs/>
          <w:sz w:val="24"/>
        </w:rPr>
        <w:t>【】；（b）在“违约事件”发生或“信托”终止后，或“优先级资产支持证券”的“未偿本金余额”已经偿付完毕或当期预计可以偿付完毕时，为零。</w:t>
      </w:r>
    </w:p>
    <w:p w14:paraId="649D965D">
      <w:pPr>
        <w:tabs>
          <w:tab w:val="left" w:pos="425"/>
          <w:tab w:val="left" w:pos="720"/>
          <w:tab w:val="left" w:pos="851"/>
        </w:tabs>
        <w:spacing w:before="156" w:beforeLines="50" w:after="156" w:afterLines="50"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【注：可结合项目实际情况设置必备流动性储备金额（如有）。】</w:t>
      </w:r>
    </w:p>
    <w:p w14:paraId="0C9E51D1">
      <w:pPr>
        <w:numPr>
          <w:ilvl w:val="1"/>
          <w:numId w:val="3"/>
        </w:numPr>
        <w:tabs>
          <w:tab w:val="left" w:pos="851"/>
          <w:tab w:val="left" w:pos="1145"/>
        </w:tabs>
        <w:spacing w:before="156" w:beforeLines="50" w:after="156" w:afterLines="50" w:line="360" w:lineRule="auto"/>
        <w:ind w:left="851" w:hanging="851"/>
        <w:rPr>
          <w:rFonts w:eastAsia="楷体_GB2312"/>
          <w:color w:val="000000" w:themeColor="text1"/>
          <w:sz w:val="24"/>
          <w:szCs w:val="32"/>
          <w14:textFill>
            <w14:solidFill>
              <w14:schemeClr w14:val="tx1"/>
            </w14:solidFill>
          </w14:textFill>
        </w:rPr>
      </w:pPr>
      <w:r>
        <w:rPr>
          <w:rFonts w:eastAsia="楷体_GB2312"/>
          <w:b/>
          <w:color w:val="000000" w:themeColor="text1"/>
          <w:sz w:val="24"/>
          <w:szCs w:val="32"/>
          <w14:textFill>
            <w14:solidFill>
              <w14:schemeClr w14:val="tx1"/>
            </w14:solidFill>
          </w14:textFill>
        </w:rPr>
        <w:t>次级资产支持证券固定资金成本</w:t>
      </w:r>
      <w:r>
        <w:rPr>
          <w:rFonts w:eastAsia="楷体_GB2312"/>
          <w:color w:val="000000" w:themeColor="text1"/>
          <w:sz w:val="24"/>
          <w:szCs w:val="32"/>
          <w14:textFill>
            <w14:solidFill>
              <w14:schemeClr w14:val="tx1"/>
            </w14:solidFill>
          </w14:textFill>
        </w:rPr>
        <w:t>：系指按照如下公式计算的款项，【】。</w:t>
      </w:r>
    </w:p>
    <w:p w14:paraId="30B58536">
      <w:pPr>
        <w:tabs>
          <w:tab w:val="left" w:pos="425"/>
          <w:tab w:val="left" w:pos="720"/>
          <w:tab w:val="left" w:pos="851"/>
        </w:tabs>
        <w:spacing w:before="156" w:beforeLines="50" w:after="156" w:afterLines="50" w:line="360" w:lineRule="auto"/>
        <w:ind w:left="851"/>
        <w:rPr>
          <w:rFonts w:ascii="Times New Roman" w:hAnsi="Times New Roman" w:eastAsia="楷体_GB2312"/>
          <w:b/>
          <w:bCs/>
          <w:i/>
          <w:iCs/>
          <w:color w:val="FF0000"/>
          <w:sz w:val="24"/>
        </w:rPr>
      </w:pPr>
      <w:r>
        <w:rPr>
          <w:rFonts w:ascii="Times New Roman" w:hAnsi="Times New Roman" w:eastAsia="楷体_GB2312"/>
          <w:b/>
          <w:bCs/>
          <w:i/>
          <w:iCs/>
          <w:color w:val="FF0000"/>
          <w:sz w:val="24"/>
        </w:rPr>
        <w:t>【注：次级资产支持证券固定资金成本公式可根据项目情况予以补充填入。】</w:t>
      </w:r>
    </w:p>
    <w:p w14:paraId="3EC42AA1">
      <w:pPr>
        <w:pStyle w:val="6"/>
        <w:spacing w:before="156" w:beforeLines="50" w:after="156" w:afterLines="50" w:line="360" w:lineRule="auto"/>
        <w:ind w:left="0" w:leftChars="0"/>
        <w:outlineLvl w:val="1"/>
        <w:rPr>
          <w:rFonts w:ascii="Times New Roman" w:hAnsi="Times New Roman" w:eastAsia="楷体_GB2312"/>
          <w:b/>
        </w:rPr>
      </w:pPr>
      <w:bookmarkStart w:id="52" w:name="_Toc173860444"/>
      <w:r>
        <w:rPr>
          <w:rFonts w:ascii="Times New Roman" w:hAnsi="Times New Roman" w:eastAsia="楷体_GB2312"/>
          <w:b/>
          <w:sz w:val="24"/>
        </w:rPr>
        <w:t>（六）</w:t>
      </w:r>
      <w:bookmarkStart w:id="53" w:name="_Toc173860443"/>
      <w:r>
        <w:rPr>
          <w:rFonts w:ascii="Times New Roman" w:hAnsi="Times New Roman" w:eastAsia="楷体_GB2312"/>
          <w:b/>
          <w:sz w:val="24"/>
        </w:rPr>
        <w:t>发行资产支持证券所涉及的定义</w:t>
      </w:r>
    </w:p>
    <w:p w14:paraId="06A43D4E">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资产支持证券募集资金：</w:t>
      </w:r>
      <w:r>
        <w:rPr>
          <w:rFonts w:ascii="Times New Roman" w:hAnsi="Times New Roman" w:eastAsia="楷体_GB2312"/>
          <w:bCs/>
          <w:sz w:val="24"/>
        </w:rPr>
        <w:t>系指截至“缴款截止日”缴款结束时，“发行人”通过发行“资产支持证券”（不包括向“发起机构”发行的“资产支持证券”）而募集的资金总和。</w:t>
      </w:r>
    </w:p>
    <w:p w14:paraId="65D0928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承销报酬：</w:t>
      </w:r>
      <w:r>
        <w:rPr>
          <w:rFonts w:ascii="Times New Roman" w:hAnsi="Times New Roman" w:eastAsia="楷体_GB2312"/>
          <w:bCs/>
          <w:sz w:val="24"/>
        </w:rPr>
        <w:t>系指根据“《承销协议》”</w:t>
      </w:r>
      <w:r>
        <w:rPr>
          <w:rFonts w:hint="eastAsia" w:ascii="Times New Roman" w:hAnsi="Times New Roman" w:eastAsia="楷体_GB2312"/>
          <w:bCs/>
          <w:sz w:val="24"/>
        </w:rPr>
        <w:t>的约定</w:t>
      </w:r>
      <w:r>
        <w:rPr>
          <w:rFonts w:ascii="Times New Roman" w:hAnsi="Times New Roman" w:eastAsia="楷体_GB2312"/>
          <w:bCs/>
          <w:sz w:val="24"/>
        </w:rPr>
        <w:t>，“牵头主承销商”和“联席主承销商”提供“资产支持证券”的承销服务而获取的对价。</w:t>
      </w:r>
    </w:p>
    <w:p w14:paraId="0D914F6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簿记建档：</w:t>
      </w:r>
      <w:r>
        <w:rPr>
          <w:rFonts w:ascii="Times New Roman" w:hAnsi="Times New Roman" w:eastAsia="楷体_GB2312"/>
          <w:bCs/>
          <w:sz w:val="24"/>
        </w:rPr>
        <w:t>系指由“簿记管理人”记录投资者认购数量和各“优先级资产支持证券”利率水平的意愿的程序。</w:t>
      </w:r>
    </w:p>
    <w:p w14:paraId="1AA01BE1">
      <w:pPr>
        <w:tabs>
          <w:tab w:val="left" w:pos="851"/>
        </w:tabs>
        <w:spacing w:before="156" w:beforeLines="50" w:after="156" w:afterLines="50" w:line="360" w:lineRule="auto"/>
        <w:ind w:firstLine="723" w:firstLineChars="300"/>
        <w:rPr>
          <w:rFonts w:ascii="Times New Roman" w:hAnsi="Times New Roman" w:eastAsia="楷体_GB2312"/>
          <w:b/>
          <w:i/>
          <w:iCs/>
          <w:color w:val="FF0000"/>
          <w:sz w:val="24"/>
        </w:rPr>
      </w:pPr>
      <w:r>
        <w:rPr>
          <w:rFonts w:ascii="Times New Roman" w:hAnsi="Times New Roman" w:eastAsia="楷体_GB2312"/>
          <w:b/>
          <w:i/>
          <w:iCs/>
          <w:color w:val="FF0000"/>
          <w:sz w:val="24"/>
        </w:rPr>
        <w:t>【注：如为招标发行，则涉及发行的相关定义则可相应予以调整。】</w:t>
      </w:r>
    </w:p>
    <w:p w14:paraId="0B5A4B1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基准利率：</w:t>
      </w:r>
      <w:r>
        <w:rPr>
          <w:rFonts w:ascii="Times New Roman" w:hAnsi="Times New Roman" w:eastAsia="楷体_GB2312"/>
          <w:bCs/>
          <w:sz w:val="24"/>
        </w:rPr>
        <w:t>系指“人民银行”授权的机构（在“信托生效日”为“同业拆借中心”）发布的【】年期贷款市场报价利率（LPR）。其中，第一个“计息期间”的“基准利率”为【】年【】月发布的【】年期贷款市场报价利率（LPR）。“基准利率”将于基准利率调整日进行调整，基准利率调整日为“信托生效日”后每年的【】月【】日，其中第一个基准利率调整日为【】年【】月【】日，“基准利率”于基准利率调整日调整为基准利率调整日前一个月发布的【】年期贷款市场报价利率。若“人民银行”后续要求按照新的定价基准调整【】年期存量浮动利率贷款的利率，或允许商业银行自行确定【】年期存量浮动利率贷款的定价基准的，则基准利率采用届时“【发起机构简称】”【】年期存量浮动利率贷款适用的定价基准，基准利率调整日为新定价基准实施后每年的【】月【】日，“基准利率”于基准利率调整日调整为基准利率调整日前一个月“【发起机构简称】”【】年期存量浮动利率贷款适用的定价基准。</w:t>
      </w:r>
    </w:p>
    <w:p w14:paraId="21FEE48E">
      <w:pPr>
        <w:tabs>
          <w:tab w:val="left" w:pos="851"/>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【注：具体项目基准利率调整日可选择次期调整、每年1月1日调整、按季调整、次年对日调整等。】</w:t>
      </w:r>
    </w:p>
    <w:p w14:paraId="4A92EE7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基本利差：</w:t>
      </w:r>
      <w:r>
        <w:rPr>
          <w:rFonts w:ascii="Times New Roman" w:hAnsi="Times New Roman" w:eastAsia="楷体_GB2312"/>
          <w:bCs/>
          <w:sz w:val="24"/>
        </w:rPr>
        <w:t>系指通过“簿记建档”的方式确定的并在《【资产支持证券名称】发行公告》上公布的适用于“优先级资产支持证券”的相应利差。</w:t>
      </w:r>
    </w:p>
    <w:p w14:paraId="01D2D44D">
      <w:pPr>
        <w:tabs>
          <w:tab w:val="left" w:pos="851"/>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1、“基准利率”和“基本利差”的概念适用于“优先级资产支持证券”采用浮动利率的情形，且“基准利率”的确定可根据具体项目调整；如“优先级资产支持证券”采用固定利率，则删除“基准利率”和“基本利差”相关内容。2、如采用招标的发行方式，则上述定义应修改为：基本利差：系指通过公开招标的方式予以确定的并在《发行结果公告》上公布的适用于各“优先级资产支持证券”的相应利差。】</w:t>
      </w:r>
    </w:p>
    <w:p w14:paraId="102740A1">
      <w:pPr>
        <w:pStyle w:val="6"/>
        <w:spacing w:before="156" w:beforeLines="50" w:after="156" w:afterLines="50" w:line="360" w:lineRule="auto"/>
        <w:ind w:left="0" w:leftChars="0"/>
        <w:outlineLvl w:val="1"/>
        <w:rPr>
          <w:rFonts w:ascii="Times New Roman" w:hAnsi="Times New Roman" w:eastAsia="楷体_GB2312"/>
          <w:b/>
        </w:rPr>
      </w:pPr>
      <w:r>
        <w:rPr>
          <w:rFonts w:ascii="Times New Roman" w:hAnsi="Times New Roman" w:eastAsia="楷体_GB2312"/>
          <w:b/>
          <w:sz w:val="24"/>
        </w:rPr>
        <w:t>（七）与信托有关的费用</w:t>
      </w:r>
      <w:bookmarkEnd w:id="53"/>
    </w:p>
    <w:p w14:paraId="4CE70BE0">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执行费用：</w:t>
      </w:r>
      <w:r>
        <w:rPr>
          <w:rFonts w:ascii="Times New Roman" w:hAnsi="Times New Roman" w:eastAsia="楷体_GB2312"/>
          <w:bCs/>
          <w:sz w:val="24"/>
        </w:rPr>
        <w:t>系指“贷款服务机构”对“借款人”以及其他第三方提起诉讼或仲裁以及申请强制执行“违约贷款”，或通过诉讼、仲裁以外的其他方式（包括但不限于向公安机关报案，以及委托第三方催收）处置“违约贷款”时合理发生的所有成本、费用和税收（但“贷款服务机构”须提供合理证据）。“执行费用”由【】承担。</w:t>
      </w:r>
    </w:p>
    <w:p w14:paraId="56BF615F">
      <w:pPr>
        <w:tabs>
          <w:tab w:val="left" w:pos="851"/>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【注：“执行费用”的金额</w:t>
      </w:r>
      <w:r>
        <w:rPr>
          <w:rFonts w:eastAsia="楷体_GB2312"/>
          <w:b/>
          <w:bCs/>
          <w:i/>
          <w:iCs/>
          <w:color w:val="FF0000"/>
          <w:sz w:val="24"/>
        </w:rPr>
        <w:t>和收取方式根据项目的实际情况确定和调整</w:t>
      </w:r>
      <w:r>
        <w:rPr>
          <w:rFonts w:ascii="Times New Roman" w:hAnsi="Times New Roman" w:eastAsia="楷体_GB2312"/>
          <w:b/>
          <w:i/>
          <w:iCs/>
          <w:color w:val="FF0000"/>
          <w:sz w:val="24"/>
        </w:rPr>
        <w:t>。】</w:t>
      </w:r>
    </w:p>
    <w:p w14:paraId="070760EB">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费用支出：</w:t>
      </w:r>
      <w:r>
        <w:rPr>
          <w:rFonts w:ascii="Times New Roman" w:hAnsi="Times New Roman" w:eastAsia="楷体_GB2312"/>
          <w:bCs/>
          <w:sz w:val="24"/>
        </w:rPr>
        <w:t>就各相关主体而言，系指该等实际支出和费用包括该方作为当事人与其他本次交易相关主体之间发生的与本次证券化交易相关的诉讼或仲裁而发生的合理律师费、诉讼费、仲裁费和执行费（扣除按照法院判决或仲裁裁决应当由对方承担的律师费、诉讼费、仲裁费和执行费）以及该方为管理“信托财产”所支出的根据“交易文件”的约定由“信托财产”承担的必要费用，但不包括：(a)该方因过失、故意的不当行为、违约或欺诈情况下按法院判决或仲裁裁决须由其自身承担的律师费、诉讼费、仲裁费和执行费，以及(b)该方提供服务应获取的报酬。</w:t>
      </w:r>
    </w:p>
    <w:p w14:paraId="411DBDF6">
      <w:pPr>
        <w:tabs>
          <w:tab w:val="left" w:pos="851"/>
          <w:tab w:val="left" w:pos="1145"/>
        </w:tabs>
        <w:spacing w:before="156" w:beforeLines="50" w:after="156" w:afterLines="50" w:line="360" w:lineRule="auto"/>
        <w:ind w:left="851"/>
        <w:rPr>
          <w:rFonts w:ascii="Times New Roman" w:hAnsi="Times New Roman" w:eastAsia="楷体_GB2312"/>
          <w:bCs/>
          <w:sz w:val="24"/>
        </w:rPr>
      </w:pPr>
      <w:r>
        <w:rPr>
          <w:rFonts w:ascii="Times New Roman" w:hAnsi="Times New Roman" w:eastAsia="楷体_GB2312"/>
          <w:bCs/>
          <w:sz w:val="24"/>
        </w:rPr>
        <w:t>其中，就“受托人”而言，除上述费用和支出外，该等实际费用和支出还包括相关级别“资产支持证券”的上市流通费用（如有）、“信托”设立后的信息披露费用、召集“资产支持证券持有人大会”发生的费用、“替代贷款服务机构”接收服务发生的费用等；就“贷款服务机构”而言，除上述费用和支出外，该等实际支出和费用还包括“贷款服务机构”向“信托账户”转付资金所产生的资金汇划费，但不包括“执行费用”；就“资金保管机构”而言，除上述费用和支出外，该等实际支出和费用还包括资金汇划费。</w:t>
      </w:r>
    </w:p>
    <w:p w14:paraId="2D0D4EC0">
      <w:pPr>
        <w:tabs>
          <w:tab w:val="left" w:pos="851"/>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【注：“费用支出”根据项目的实际情况确定和调整。】</w:t>
      </w:r>
    </w:p>
    <w:p w14:paraId="7292E10E">
      <w:pPr>
        <w:pStyle w:val="30"/>
        <w:spacing w:before="156" w:beforeLines="50" w:after="156" w:afterLines="50"/>
        <w:ind w:firstLine="0"/>
        <w:outlineLvl w:val="1"/>
        <w:rPr>
          <w:rFonts w:ascii="Times New Roman" w:hAnsi="Times New Roman" w:eastAsia="楷体_GB2312"/>
          <w:b/>
        </w:rPr>
      </w:pPr>
      <w:r>
        <w:rPr>
          <w:rFonts w:ascii="Times New Roman" w:hAnsi="Times New Roman" w:eastAsia="楷体_GB2312"/>
          <w:b/>
        </w:rPr>
        <w:t>（八）资产支持证券持有人大会</w:t>
      </w:r>
      <w:bookmarkEnd w:id="52"/>
    </w:p>
    <w:p w14:paraId="07D0D6F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资产支持证券持有人大会：</w:t>
      </w:r>
      <w:r>
        <w:rPr>
          <w:rFonts w:ascii="Times New Roman" w:hAnsi="Times New Roman" w:eastAsia="楷体_GB2312"/>
          <w:bCs/>
          <w:sz w:val="24"/>
        </w:rPr>
        <w:t>系指按照“《信托合同》”的</w:t>
      </w:r>
      <w:r>
        <w:rPr>
          <w:rFonts w:hint="eastAsia" w:ascii="Times New Roman" w:hAnsi="Times New Roman" w:eastAsia="楷体_GB2312"/>
          <w:bCs/>
          <w:sz w:val="24"/>
        </w:rPr>
        <w:t>约定</w:t>
      </w:r>
      <w:r>
        <w:rPr>
          <w:rFonts w:ascii="Times New Roman" w:hAnsi="Times New Roman" w:eastAsia="楷体_GB2312"/>
          <w:bCs/>
          <w:sz w:val="24"/>
        </w:rPr>
        <w:t>召集并召开的“资产支持证券持有人”的会议。</w:t>
      </w:r>
    </w:p>
    <w:p w14:paraId="71D3856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全体同意事项：</w:t>
      </w:r>
      <w:r>
        <w:rPr>
          <w:rFonts w:ascii="Times New Roman" w:hAnsi="Times New Roman" w:eastAsia="楷体_GB2312"/>
          <w:bCs/>
          <w:sz w:val="24"/>
        </w:rPr>
        <w:t>系指必须经全体“资产支持证券持有人”一致同意后方可通过的事项。</w:t>
      </w:r>
    </w:p>
    <w:p w14:paraId="5AB127FD">
      <w:pPr>
        <w:tabs>
          <w:tab w:val="left" w:pos="851"/>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【注：全体同意事项表述可根据具体项目情况调整。】</w:t>
      </w:r>
    </w:p>
    <w:p w14:paraId="59580D05">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特别决议事项：</w:t>
      </w:r>
      <w:r>
        <w:rPr>
          <w:rFonts w:ascii="Times New Roman" w:hAnsi="Times New Roman" w:eastAsia="楷体_GB2312"/>
          <w:bCs/>
          <w:sz w:val="24"/>
        </w:rPr>
        <w:t>对每一类别的“资产支持证券持有人”组成的“资产支持证券持有人大会”而言，系指必须经单独或合计持有本类别“资产支持证券”“未偿本金余额”75%以上的“资产支持证券持有人”出席，且经出席的“资产支持证券持有人”表决权总数的75%以上同意方可通过的事项。</w:t>
      </w:r>
    </w:p>
    <w:p w14:paraId="21F8592D">
      <w:pPr>
        <w:tabs>
          <w:tab w:val="left" w:pos="851"/>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w:t>
      </w:r>
      <w:r>
        <w:rPr>
          <w:rFonts w:hint="eastAsia" w:ascii="Times New Roman" w:hAnsi="Times New Roman" w:eastAsia="楷体_GB2312"/>
          <w:b/>
          <w:i/>
          <w:iCs/>
          <w:color w:val="FF0000"/>
          <w:sz w:val="24"/>
        </w:rPr>
        <w:t>特别决议</w:t>
      </w:r>
      <w:r>
        <w:rPr>
          <w:rFonts w:ascii="Times New Roman" w:hAnsi="Times New Roman" w:eastAsia="楷体_GB2312"/>
          <w:b/>
          <w:i/>
          <w:iCs/>
          <w:color w:val="FF0000"/>
          <w:sz w:val="24"/>
        </w:rPr>
        <w:t>事项表述可根据具体项目情况调整。】</w:t>
      </w:r>
    </w:p>
    <w:p w14:paraId="4F81DD7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普通决议事项：</w:t>
      </w:r>
      <w:r>
        <w:rPr>
          <w:rFonts w:ascii="Times New Roman" w:hAnsi="Times New Roman" w:eastAsia="楷体_GB2312"/>
          <w:bCs/>
          <w:sz w:val="24"/>
        </w:rPr>
        <w:t>对每一类别的“资产支持证券持有人”组成的“资产支持证券持有人大会”而言，系指必须经单独或合计持有本类别“资产支持证券”“未偿本金余额”50%以上的“资产支持证券持有人”出席，且经出席的“资产支持证券持有人”表决权总数的50%以上同意方可通过的事项。</w:t>
      </w:r>
    </w:p>
    <w:p w14:paraId="44197745">
      <w:pPr>
        <w:tabs>
          <w:tab w:val="left" w:pos="851"/>
        </w:tabs>
        <w:spacing w:before="156" w:beforeLines="50" w:after="156" w:afterLines="50" w:line="360" w:lineRule="auto"/>
        <w:ind w:left="840"/>
        <w:rPr>
          <w:rFonts w:ascii="Times New Roman" w:hAnsi="Times New Roman" w:eastAsia="楷体_GB2312"/>
          <w:b/>
          <w:i/>
          <w:iCs/>
          <w:color w:val="FF0000"/>
          <w:sz w:val="24"/>
        </w:rPr>
      </w:pPr>
      <w:r>
        <w:rPr>
          <w:rFonts w:ascii="Times New Roman" w:hAnsi="Times New Roman" w:eastAsia="楷体_GB2312"/>
          <w:b/>
          <w:i/>
          <w:iCs/>
          <w:color w:val="FF0000"/>
          <w:sz w:val="24"/>
        </w:rPr>
        <w:t>【注：</w:t>
      </w:r>
      <w:r>
        <w:rPr>
          <w:rFonts w:hint="eastAsia" w:ascii="Times New Roman" w:hAnsi="Times New Roman" w:eastAsia="楷体_GB2312"/>
          <w:b/>
          <w:i/>
          <w:iCs/>
          <w:color w:val="FF0000"/>
          <w:sz w:val="24"/>
        </w:rPr>
        <w:t>普通决议</w:t>
      </w:r>
      <w:r>
        <w:rPr>
          <w:rFonts w:ascii="Times New Roman" w:hAnsi="Times New Roman" w:eastAsia="楷体_GB2312"/>
          <w:b/>
          <w:i/>
          <w:iCs/>
          <w:color w:val="FF0000"/>
          <w:sz w:val="24"/>
        </w:rPr>
        <w:t>事项表述可根据具体项目情况调整。】</w:t>
      </w:r>
    </w:p>
    <w:p w14:paraId="20015A86">
      <w:pPr>
        <w:pStyle w:val="30"/>
        <w:spacing w:before="156" w:beforeLines="50" w:after="156" w:afterLines="50"/>
        <w:ind w:firstLine="0"/>
        <w:outlineLvl w:val="1"/>
        <w:rPr>
          <w:rFonts w:ascii="Times New Roman" w:hAnsi="Times New Roman" w:eastAsia="楷体_GB2312"/>
          <w:b/>
        </w:rPr>
      </w:pPr>
      <w:r>
        <w:rPr>
          <w:rFonts w:ascii="Times New Roman" w:hAnsi="Times New Roman" w:eastAsia="楷体_GB2312"/>
          <w:b/>
        </w:rPr>
        <w:t>（九）关于贷款服务的定义</w:t>
      </w:r>
    </w:p>
    <w:p w14:paraId="6EFA92F4">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贷款服务手册：</w:t>
      </w:r>
      <w:r>
        <w:rPr>
          <w:rFonts w:ascii="Times New Roman" w:hAnsi="Times New Roman" w:eastAsia="楷体_GB2312"/>
          <w:bCs/>
          <w:sz w:val="24"/>
        </w:rPr>
        <w:t>系指自“信托设立日”起生效的“贷款服务机构”为“资产池”提供服务的政策和程序（及其不时修改）。</w:t>
      </w:r>
    </w:p>
    <w:p w14:paraId="1DE49766">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服务：</w:t>
      </w:r>
      <w:r>
        <w:rPr>
          <w:rFonts w:ascii="Times New Roman" w:hAnsi="Times New Roman" w:eastAsia="楷体_GB2312"/>
          <w:bCs/>
          <w:sz w:val="24"/>
        </w:rPr>
        <w:t>系指“《服务合同》”附件【】中</w:t>
      </w:r>
      <w:r>
        <w:rPr>
          <w:rFonts w:hint="eastAsia" w:ascii="Times New Roman" w:hAnsi="Times New Roman" w:eastAsia="楷体_GB2312"/>
          <w:bCs/>
          <w:sz w:val="24"/>
        </w:rPr>
        <w:t>约定</w:t>
      </w:r>
      <w:r>
        <w:rPr>
          <w:rFonts w:ascii="Times New Roman" w:hAnsi="Times New Roman" w:eastAsia="楷体_GB2312"/>
          <w:bCs/>
          <w:sz w:val="24"/>
        </w:rPr>
        <w:t>的由“贷款服务机构”根据“《服务合同》”提供的特定服务。</w:t>
      </w:r>
    </w:p>
    <w:p w14:paraId="6590E82A">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后备服务：</w:t>
      </w:r>
      <w:r>
        <w:rPr>
          <w:rFonts w:ascii="Times New Roman" w:hAnsi="Times New Roman" w:eastAsia="楷体_GB2312"/>
          <w:bCs/>
          <w:sz w:val="24"/>
        </w:rPr>
        <w:t>系指“《服务合同》”附件【】中</w:t>
      </w:r>
      <w:r>
        <w:rPr>
          <w:rFonts w:hint="eastAsia" w:ascii="Times New Roman" w:hAnsi="Times New Roman" w:eastAsia="楷体_GB2312"/>
          <w:bCs/>
          <w:sz w:val="24"/>
        </w:rPr>
        <w:t>约定</w:t>
      </w:r>
      <w:r>
        <w:rPr>
          <w:rFonts w:ascii="Times New Roman" w:hAnsi="Times New Roman" w:eastAsia="楷体_GB2312"/>
          <w:bCs/>
          <w:sz w:val="24"/>
        </w:rPr>
        <w:t>的将由“后备贷款服务机构”按照“《服务合同》”提供的特定服务。</w:t>
      </w:r>
    </w:p>
    <w:p w14:paraId="0327715F">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服务机构解任通知：</w:t>
      </w:r>
      <w:r>
        <w:rPr>
          <w:rFonts w:ascii="Times New Roman" w:hAnsi="Times New Roman" w:eastAsia="楷体_GB2312"/>
          <w:bCs/>
          <w:sz w:val="24"/>
        </w:rPr>
        <w:t>系指根据“《服务合同》”的约定解任“贷款服务机构”后，由“受托机构”和“替代贷款服务机构”向每个“借款人”、担保人（如有）发送的通知，其格式须遵循“《服务合同》”附件【】。</w:t>
      </w:r>
    </w:p>
    <w:p w14:paraId="1B350263">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贷款服务移交方案：</w:t>
      </w:r>
      <w:r>
        <w:rPr>
          <w:rFonts w:ascii="Times New Roman" w:hAnsi="Times New Roman" w:eastAsia="楷体_GB2312"/>
          <w:bCs/>
          <w:sz w:val="24"/>
        </w:rPr>
        <w:t>系指“贷款服务机构”和“后备贷款服务机构”或“替代贷款服务机构”制作的、“贷款服务机构”根据“《服务合同》”将“服务”移交至“替代贷款服务机构”的方案。</w:t>
      </w:r>
    </w:p>
    <w:p w14:paraId="5BA93E46">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数据文件夹：</w:t>
      </w:r>
      <w:r>
        <w:rPr>
          <w:rFonts w:ascii="Times New Roman" w:hAnsi="Times New Roman" w:eastAsia="楷体_GB2312"/>
          <w:bCs/>
          <w:sz w:val="24"/>
        </w:rPr>
        <w:t>系指由“贷款服务机构”按照“《服务合同》”的</w:t>
      </w:r>
      <w:r>
        <w:rPr>
          <w:rFonts w:hint="eastAsia" w:ascii="Times New Roman" w:hAnsi="Times New Roman" w:eastAsia="楷体_GB2312"/>
          <w:bCs/>
          <w:sz w:val="24"/>
        </w:rPr>
        <w:t>约定</w:t>
      </w:r>
      <w:r>
        <w:rPr>
          <w:rFonts w:ascii="Times New Roman" w:hAnsi="Times New Roman" w:eastAsia="楷体_GB2312"/>
          <w:bCs/>
          <w:sz w:val="24"/>
        </w:rPr>
        <w:t>以及“《服务合同》”附件【】的格式整理并递交给“受托人”和“后备贷款服务机构”（如有）的“资产”信息数据文档，该文档以为“资产”提供“服务”为目的。</w:t>
      </w:r>
    </w:p>
    <w:p w14:paraId="06C6D7A7">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资产数据报告：</w:t>
      </w:r>
      <w:r>
        <w:rPr>
          <w:rFonts w:ascii="Times New Roman" w:hAnsi="Times New Roman" w:eastAsia="楷体_GB2312"/>
          <w:bCs/>
          <w:sz w:val="24"/>
        </w:rPr>
        <w:t>系指由“后备贷款服务机构”根据“《服务合同》”的</w:t>
      </w:r>
      <w:r>
        <w:rPr>
          <w:rFonts w:hint="eastAsia" w:ascii="Times New Roman" w:hAnsi="Times New Roman" w:eastAsia="楷体_GB2312"/>
          <w:bCs/>
          <w:sz w:val="24"/>
        </w:rPr>
        <w:t>约定</w:t>
      </w:r>
      <w:r>
        <w:rPr>
          <w:rFonts w:ascii="Times New Roman" w:hAnsi="Times New Roman" w:eastAsia="楷体_GB2312"/>
          <w:bCs/>
          <w:sz w:val="24"/>
        </w:rPr>
        <w:t>以及“《服务合同》”附件【】的格式，向“受托人”和“评级机构”提供的关于“资产”的数据报告。</w:t>
      </w:r>
    </w:p>
    <w:p w14:paraId="154BDB71">
      <w:pPr>
        <w:tabs>
          <w:tab w:val="left" w:pos="851"/>
        </w:tabs>
        <w:spacing w:before="156" w:beforeLines="50" w:after="156" w:afterLines="50" w:line="360" w:lineRule="auto"/>
        <w:rPr>
          <w:rFonts w:ascii="Times New Roman" w:hAnsi="Times New Roman" w:eastAsia="楷体_GB2312"/>
          <w:b/>
          <w:bCs/>
          <w:sz w:val="24"/>
        </w:rPr>
      </w:pPr>
      <w:r>
        <w:rPr>
          <w:rFonts w:ascii="Times New Roman" w:hAnsi="Times New Roman" w:eastAsia="楷体_GB2312"/>
          <w:b/>
          <w:bCs/>
          <w:sz w:val="24"/>
        </w:rPr>
        <w:t>（十）</w:t>
      </w:r>
      <w:r>
        <w:rPr>
          <w:rFonts w:hint="eastAsia" w:ascii="Times New Roman" w:hAnsi="Times New Roman" w:eastAsia="楷体_GB2312"/>
          <w:b/>
          <w:bCs/>
          <w:sz w:val="24"/>
        </w:rPr>
        <w:t>其他</w:t>
      </w:r>
    </w:p>
    <w:p w14:paraId="1A2E3341">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税收：</w:t>
      </w:r>
      <w:r>
        <w:rPr>
          <w:rFonts w:ascii="Times New Roman" w:hAnsi="Times New Roman" w:eastAsia="楷体_GB2312"/>
          <w:bCs/>
          <w:sz w:val="24"/>
        </w:rPr>
        <w:t>指由有管辖权的“政府机构”或其授权机构征收的现有的和将有的任何税收、规费以及其他任何性质的政府收费，包括但不限于营业税、所得税和其他税收。</w:t>
      </w:r>
    </w:p>
    <w:p w14:paraId="7970F6BD">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中国：</w:t>
      </w:r>
      <w:r>
        <w:rPr>
          <w:rFonts w:ascii="Times New Roman" w:hAnsi="Times New Roman" w:eastAsia="楷体_GB2312"/>
          <w:bCs/>
          <w:sz w:val="24"/>
        </w:rPr>
        <w:t>系指中华人民共和国（就相关“交易文件”而言不包括</w:t>
      </w:r>
      <w:r>
        <w:rPr>
          <w:rFonts w:hint="eastAsia" w:ascii="Times New Roman" w:hAnsi="Times New Roman" w:eastAsia="楷体_GB2312"/>
          <w:bCs/>
          <w:sz w:val="24"/>
        </w:rPr>
        <w:t>中国</w:t>
      </w:r>
      <w:r>
        <w:rPr>
          <w:rFonts w:ascii="Times New Roman" w:hAnsi="Times New Roman" w:eastAsia="楷体_GB2312"/>
          <w:bCs/>
          <w:sz w:val="24"/>
        </w:rPr>
        <w:t>香港特别行政区、</w:t>
      </w:r>
      <w:r>
        <w:rPr>
          <w:rFonts w:hint="eastAsia" w:ascii="Times New Roman" w:hAnsi="Times New Roman" w:eastAsia="楷体_GB2312"/>
          <w:bCs/>
          <w:sz w:val="24"/>
        </w:rPr>
        <w:t>中国</w:t>
      </w:r>
      <w:r>
        <w:rPr>
          <w:rFonts w:ascii="Times New Roman" w:hAnsi="Times New Roman" w:eastAsia="楷体_GB2312"/>
          <w:bCs/>
          <w:sz w:val="24"/>
        </w:rPr>
        <w:t>澳门特别行政区以及</w:t>
      </w:r>
      <w:r>
        <w:rPr>
          <w:rFonts w:hint="eastAsia" w:ascii="Times New Roman" w:hAnsi="Times New Roman" w:eastAsia="楷体_GB2312"/>
          <w:bCs/>
          <w:sz w:val="24"/>
        </w:rPr>
        <w:t>中国</w:t>
      </w:r>
      <w:r>
        <w:rPr>
          <w:rFonts w:ascii="Times New Roman" w:hAnsi="Times New Roman" w:eastAsia="楷体_GB2312"/>
          <w:bCs/>
          <w:sz w:val="24"/>
        </w:rPr>
        <w:t>台湾地区）。</w:t>
      </w:r>
    </w:p>
    <w:p w14:paraId="7DB69E5A">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法律：</w:t>
      </w:r>
      <w:r>
        <w:rPr>
          <w:rFonts w:ascii="Times New Roman" w:hAnsi="Times New Roman" w:eastAsia="楷体_GB2312"/>
          <w:bCs/>
          <w:sz w:val="24"/>
        </w:rPr>
        <w:t>系指“中国”的宪法、法律、行政法规、部门规章、</w:t>
      </w:r>
      <w:r>
        <w:rPr>
          <w:rFonts w:hint="eastAsia" w:ascii="Times New Roman" w:hAnsi="Times New Roman" w:eastAsia="楷体_GB2312"/>
          <w:bCs/>
          <w:sz w:val="24"/>
        </w:rPr>
        <w:t>地方性法规</w:t>
      </w:r>
      <w:r>
        <w:rPr>
          <w:rFonts w:ascii="Times New Roman" w:hAnsi="Times New Roman" w:eastAsia="楷体_GB2312"/>
          <w:bCs/>
          <w:sz w:val="24"/>
        </w:rPr>
        <w:t>以及由政府机构颁布的其他规范性文件。</w:t>
      </w:r>
    </w:p>
    <w:p w14:paraId="61E5DFE6">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Cs/>
          <w:sz w:val="24"/>
        </w:rPr>
      </w:pPr>
      <w:r>
        <w:rPr>
          <w:rFonts w:ascii="Times New Roman" w:hAnsi="Times New Roman" w:eastAsia="楷体_GB2312"/>
          <w:b/>
          <w:sz w:val="24"/>
        </w:rPr>
        <w:t>政府机构：</w:t>
      </w:r>
      <w:r>
        <w:rPr>
          <w:rFonts w:ascii="Times New Roman" w:hAnsi="Times New Roman" w:eastAsia="楷体_GB2312"/>
          <w:bCs/>
          <w:sz w:val="24"/>
        </w:rPr>
        <w:t>系指(a)国务院以及省、自治区、直辖市、自治州、县、自治县、市、市辖区、乡、民族乡、镇人民政府；(b)全国人民代表大会以及省、直辖市、县、市、市辖区、乡、民族乡、镇人民代表大会；(c)最高人民法院、地方各级人民法院和军事法院、铁路运输法院、海事法院等专门法院；(d)最高人民检察院、地方各级人民检察院和军事检察院、铁路运输检察院等专门检察院；(e)仲裁机构及其分支机构；(f)任何在上述机构领导下或以上述机构名义行使行政、立法、司法、管理、监管、征用和征税权利的政府授权机构和私人团体。</w:t>
      </w:r>
    </w:p>
    <w:p w14:paraId="4ACB6879">
      <w:pPr>
        <w:numPr>
          <w:ilvl w:val="1"/>
          <w:numId w:val="3"/>
        </w:numPr>
        <w:tabs>
          <w:tab w:val="left" w:pos="851"/>
          <w:tab w:val="left" w:pos="1145"/>
        </w:tabs>
        <w:spacing w:before="156" w:beforeLines="50" w:after="156" w:afterLines="50" w:line="360" w:lineRule="auto"/>
        <w:ind w:left="851" w:hanging="851"/>
        <w:rPr>
          <w:rFonts w:ascii="Times New Roman" w:hAnsi="Times New Roman" w:eastAsia="楷体_GB2312"/>
          <w:b/>
          <w:sz w:val="24"/>
        </w:rPr>
      </w:pPr>
      <w:r>
        <w:rPr>
          <w:rFonts w:ascii="Times New Roman" w:hAnsi="Times New Roman" w:eastAsia="楷体_GB2312"/>
          <w:b/>
          <w:sz w:val="24"/>
        </w:rPr>
        <w:t>人民币：</w:t>
      </w:r>
      <w:r>
        <w:rPr>
          <w:rFonts w:ascii="Times New Roman" w:hAnsi="Times New Roman" w:eastAsia="楷体_GB2312"/>
          <w:bCs/>
          <w:sz w:val="24"/>
        </w:rPr>
        <w:t>系指“中国”的法定货币。</w:t>
      </w:r>
    </w:p>
    <w:p w14:paraId="7873D5B3">
      <w:pPr>
        <w:pStyle w:val="40"/>
        <w:spacing w:before="156" w:beforeLines="50" w:after="156" w:afterLines="50" w:line="360" w:lineRule="auto"/>
        <w:rPr>
          <w:rFonts w:ascii="Times New Roman" w:hAnsi="Times New Roman" w:eastAsia="楷体_GB2312"/>
          <w:lang w:eastAsia="zh-CN"/>
        </w:rPr>
      </w:pPr>
      <w:bookmarkStart w:id="54" w:name="_Toc149842436"/>
      <w:bookmarkStart w:id="55" w:name="_Toc173860445"/>
      <w:bookmarkStart w:id="56" w:name="_Toc220450226"/>
      <w:r>
        <w:rPr>
          <w:rFonts w:ascii="Times New Roman" w:hAnsi="Times New Roman" w:eastAsia="楷体_GB2312"/>
          <w:lang w:eastAsia="zh-CN"/>
        </w:rPr>
        <w:t>二、法律条款</w:t>
      </w:r>
      <w:bookmarkEnd w:id="54"/>
      <w:bookmarkEnd w:id="55"/>
      <w:bookmarkEnd w:id="56"/>
    </w:p>
    <w:p w14:paraId="0EDA3BE0">
      <w:pPr>
        <w:pStyle w:val="43"/>
        <w:spacing w:before="156" w:beforeLines="50" w:after="156" w:afterLines="50" w:line="360" w:lineRule="auto"/>
        <w:rPr>
          <w:rFonts w:ascii="Times New Roman" w:hAnsi="Times New Roman" w:eastAsia="楷体_GB2312"/>
          <w:lang w:eastAsia="zh-CN"/>
        </w:rPr>
      </w:pPr>
      <w:r>
        <w:rPr>
          <w:rFonts w:ascii="Times New Roman" w:hAnsi="Times New Roman" w:eastAsia="楷体_GB2312"/>
          <w:lang w:eastAsia="zh-CN"/>
        </w:rPr>
        <w:t>在“交易文件”中对法律条款的援引，应包括对这些法律条款的立法修订、重新立法或针对这些法律条款制订的法规或规章。</w:t>
      </w:r>
    </w:p>
    <w:p w14:paraId="6537BFFD">
      <w:pPr>
        <w:pStyle w:val="40"/>
        <w:spacing w:before="156" w:beforeLines="50" w:after="156" w:afterLines="50" w:line="360" w:lineRule="auto"/>
        <w:rPr>
          <w:rFonts w:ascii="Times New Roman" w:hAnsi="Times New Roman" w:eastAsia="楷体_GB2312"/>
          <w:lang w:eastAsia="zh-CN"/>
        </w:rPr>
      </w:pPr>
      <w:bookmarkStart w:id="57" w:name="_DV_M812"/>
      <w:bookmarkEnd w:id="57"/>
      <w:bookmarkStart w:id="58" w:name="_Toc80116304"/>
      <w:bookmarkStart w:id="59" w:name="_Toc524495441"/>
      <w:bookmarkStart w:id="60" w:name="_Toc121814285"/>
      <w:bookmarkStart w:id="61" w:name="_Toc173860446"/>
      <w:bookmarkStart w:id="62" w:name="_Toc149842437"/>
      <w:bookmarkStart w:id="63" w:name="_Toc220450227"/>
      <w:r>
        <w:rPr>
          <w:rFonts w:ascii="Times New Roman" w:hAnsi="Times New Roman" w:eastAsia="楷体_GB2312"/>
          <w:lang w:eastAsia="zh-CN"/>
        </w:rPr>
        <w:t>三、修改</w:t>
      </w:r>
      <w:bookmarkEnd w:id="58"/>
      <w:bookmarkEnd w:id="59"/>
      <w:bookmarkEnd w:id="60"/>
      <w:bookmarkEnd w:id="61"/>
      <w:bookmarkEnd w:id="62"/>
      <w:bookmarkEnd w:id="63"/>
    </w:p>
    <w:p w14:paraId="26CD2EEB">
      <w:pPr>
        <w:pStyle w:val="43"/>
        <w:spacing w:before="156" w:beforeLines="50" w:after="156" w:afterLines="50" w:line="360" w:lineRule="auto"/>
        <w:rPr>
          <w:rFonts w:ascii="Times New Roman" w:hAnsi="Times New Roman" w:eastAsia="楷体_GB2312"/>
          <w:lang w:eastAsia="zh-CN"/>
        </w:rPr>
      </w:pPr>
      <w:r>
        <w:rPr>
          <w:rFonts w:ascii="Times New Roman" w:hAnsi="Times New Roman" w:eastAsia="楷体_GB2312"/>
          <w:lang w:eastAsia="zh-CN"/>
        </w:rPr>
        <w:t>在“交易文件”中对其他“交易文件”以及协议、契约或文件的援引（包括本“《主定义表》”和“交易文件”的附件），应包括对该“交易文件”、协议、契约或文件（部分或全部）的修订、补充、确认、取代或更新以及据此签署的协议、契约或文件。</w:t>
      </w:r>
      <w:bookmarkStart w:id="64" w:name="_DV_M814"/>
      <w:bookmarkEnd w:id="64"/>
      <w:bookmarkStart w:id="65" w:name="_Toc524495442"/>
      <w:bookmarkStart w:id="66" w:name="_Toc80116305"/>
    </w:p>
    <w:p w14:paraId="288DB754">
      <w:pPr>
        <w:pStyle w:val="40"/>
        <w:spacing w:before="156" w:beforeLines="50" w:after="156" w:afterLines="50" w:line="360" w:lineRule="auto"/>
        <w:rPr>
          <w:rFonts w:ascii="Times New Roman" w:hAnsi="Times New Roman" w:eastAsia="楷体_GB2312"/>
          <w:lang w:eastAsia="zh-CN"/>
        </w:rPr>
      </w:pPr>
      <w:bookmarkStart w:id="67" w:name="_Toc149842438"/>
      <w:bookmarkStart w:id="68" w:name="_Toc121814286"/>
      <w:bookmarkStart w:id="69" w:name="_Toc220450228"/>
      <w:bookmarkStart w:id="70" w:name="_Toc173860447"/>
      <w:r>
        <w:rPr>
          <w:rFonts w:ascii="Times New Roman" w:hAnsi="Times New Roman" w:eastAsia="楷体_GB2312"/>
          <w:lang w:eastAsia="zh-CN"/>
        </w:rPr>
        <w:t>四、条款</w:t>
      </w:r>
      <w:bookmarkEnd w:id="65"/>
      <w:bookmarkEnd w:id="66"/>
      <w:bookmarkEnd w:id="67"/>
      <w:bookmarkEnd w:id="68"/>
      <w:bookmarkEnd w:id="69"/>
      <w:bookmarkEnd w:id="70"/>
    </w:p>
    <w:p w14:paraId="5FBECFB4">
      <w:pPr>
        <w:pStyle w:val="43"/>
        <w:spacing w:before="156" w:beforeLines="50" w:after="156" w:afterLines="50" w:line="360" w:lineRule="auto"/>
        <w:rPr>
          <w:rFonts w:ascii="Times New Roman" w:hAnsi="Times New Roman" w:eastAsia="楷体_GB2312"/>
          <w:lang w:eastAsia="zh-CN"/>
        </w:rPr>
      </w:pPr>
      <w:r>
        <w:rPr>
          <w:rFonts w:ascii="Times New Roman" w:hAnsi="Times New Roman" w:eastAsia="楷体_GB2312"/>
          <w:lang w:eastAsia="zh-CN"/>
        </w:rPr>
        <w:t>除非上下文另有</w:t>
      </w:r>
      <w:r>
        <w:rPr>
          <w:rFonts w:hint="eastAsia" w:ascii="Times New Roman" w:hAnsi="Times New Roman" w:eastAsia="楷体_GB2312"/>
          <w:lang w:eastAsia="zh-CN"/>
        </w:rPr>
        <w:t>约定</w:t>
      </w:r>
      <w:r>
        <w:rPr>
          <w:rFonts w:ascii="Times New Roman" w:hAnsi="Times New Roman" w:eastAsia="楷体_GB2312"/>
          <w:lang w:eastAsia="zh-CN"/>
        </w:rPr>
        <w:t>，“交易文件”中提及的条款和附件均指该文件的相应条款、附表和附件，提及的段落应指该段落所体现的条款。</w:t>
      </w:r>
    </w:p>
    <w:p w14:paraId="36332374">
      <w:pPr>
        <w:pStyle w:val="40"/>
        <w:spacing w:before="156" w:beforeLines="50" w:after="156" w:afterLines="50" w:line="360" w:lineRule="auto"/>
        <w:rPr>
          <w:rFonts w:ascii="Times New Roman" w:hAnsi="Times New Roman" w:eastAsia="楷体_GB2312"/>
          <w:lang w:eastAsia="zh-CN"/>
        </w:rPr>
      </w:pPr>
      <w:bookmarkStart w:id="71" w:name="_DV_M816"/>
      <w:bookmarkEnd w:id="71"/>
      <w:bookmarkStart w:id="72" w:name="_Toc121814287"/>
      <w:bookmarkStart w:id="73" w:name="_Toc149842439"/>
      <w:bookmarkStart w:id="74" w:name="_Toc220450229"/>
      <w:bookmarkStart w:id="75" w:name="_Toc524495443"/>
      <w:bookmarkStart w:id="76" w:name="_Toc173860448"/>
      <w:bookmarkStart w:id="77" w:name="_Toc80116306"/>
      <w:r>
        <w:rPr>
          <w:rFonts w:ascii="Times New Roman" w:hAnsi="Times New Roman" w:eastAsia="楷体_GB2312"/>
          <w:lang w:eastAsia="zh-CN"/>
        </w:rPr>
        <w:t>五、附件</w:t>
      </w:r>
      <w:bookmarkEnd w:id="72"/>
      <w:bookmarkEnd w:id="73"/>
      <w:bookmarkEnd w:id="74"/>
      <w:bookmarkEnd w:id="75"/>
      <w:bookmarkEnd w:id="76"/>
      <w:bookmarkEnd w:id="77"/>
    </w:p>
    <w:p w14:paraId="62E3E4AB">
      <w:pPr>
        <w:pStyle w:val="43"/>
        <w:spacing w:before="156" w:beforeLines="50" w:after="156" w:afterLines="50" w:line="360" w:lineRule="auto"/>
        <w:rPr>
          <w:rFonts w:ascii="Times New Roman" w:hAnsi="Times New Roman" w:eastAsia="楷体_GB2312"/>
          <w:lang w:eastAsia="zh-CN"/>
        </w:rPr>
      </w:pPr>
      <w:r>
        <w:rPr>
          <w:rFonts w:ascii="Times New Roman" w:hAnsi="Times New Roman" w:eastAsia="楷体_GB2312"/>
          <w:lang w:eastAsia="zh-CN"/>
        </w:rPr>
        <w:t>“交易文件”的附件、附录和附表构成该“交易文件”的一部分，并应与该“交易文件”正文具有相同的效力。对“交易文件”的援引应包括其附件、附录和附表。</w:t>
      </w:r>
    </w:p>
    <w:p w14:paraId="5BC8518E">
      <w:pPr>
        <w:pStyle w:val="40"/>
        <w:spacing w:before="156" w:beforeLines="50" w:after="156" w:afterLines="50" w:line="360" w:lineRule="auto"/>
        <w:rPr>
          <w:rFonts w:ascii="Times New Roman" w:hAnsi="Times New Roman" w:eastAsia="楷体_GB2312"/>
          <w:lang w:eastAsia="zh-CN"/>
        </w:rPr>
      </w:pPr>
      <w:bookmarkStart w:id="78" w:name="_DV_M818"/>
      <w:bookmarkEnd w:id="78"/>
      <w:bookmarkStart w:id="79" w:name="_Toc524495444"/>
      <w:bookmarkStart w:id="80" w:name="_Toc149842440"/>
      <w:bookmarkStart w:id="81" w:name="_Toc220450230"/>
      <w:bookmarkStart w:id="82" w:name="_Toc121814288"/>
      <w:bookmarkStart w:id="83" w:name="_Toc80116307"/>
      <w:bookmarkStart w:id="84" w:name="_Toc173860449"/>
      <w:r>
        <w:rPr>
          <w:rFonts w:ascii="Times New Roman" w:hAnsi="Times New Roman" w:eastAsia="楷体_GB2312"/>
          <w:lang w:eastAsia="zh-CN"/>
        </w:rPr>
        <w:t>六、标题</w:t>
      </w:r>
      <w:bookmarkEnd w:id="79"/>
      <w:bookmarkEnd w:id="80"/>
      <w:bookmarkEnd w:id="81"/>
      <w:bookmarkEnd w:id="82"/>
      <w:bookmarkEnd w:id="83"/>
      <w:bookmarkEnd w:id="84"/>
    </w:p>
    <w:p w14:paraId="2EEDA1D5">
      <w:pPr>
        <w:pStyle w:val="43"/>
        <w:spacing w:before="156" w:beforeLines="50" w:after="156" w:afterLines="50" w:line="360" w:lineRule="auto"/>
        <w:rPr>
          <w:rFonts w:ascii="Times New Roman" w:hAnsi="Times New Roman" w:eastAsia="楷体_GB2312"/>
          <w:lang w:eastAsia="zh-CN"/>
        </w:rPr>
      </w:pPr>
      <w:r>
        <w:rPr>
          <w:rFonts w:ascii="Times New Roman" w:hAnsi="Times New Roman" w:eastAsia="楷体_GB2312"/>
          <w:lang w:eastAsia="zh-CN"/>
        </w:rPr>
        <w:t>“交易文件”中的标题仅为援引方便而设。</w:t>
      </w:r>
    </w:p>
    <w:p w14:paraId="6D663BC6">
      <w:pPr>
        <w:pStyle w:val="40"/>
        <w:spacing w:before="156" w:beforeLines="50" w:after="156" w:afterLines="50" w:line="360" w:lineRule="auto"/>
        <w:rPr>
          <w:rFonts w:ascii="Times New Roman" w:hAnsi="Times New Roman" w:eastAsia="楷体_GB2312"/>
          <w:lang w:eastAsia="zh-CN"/>
        </w:rPr>
      </w:pPr>
      <w:bookmarkStart w:id="85" w:name="_DV_M820"/>
      <w:bookmarkEnd w:id="85"/>
      <w:bookmarkStart w:id="86" w:name="_Toc121814289"/>
      <w:bookmarkStart w:id="87" w:name="_Toc80116308"/>
      <w:bookmarkStart w:id="88" w:name="_Toc173860450"/>
      <w:bookmarkStart w:id="89" w:name="_Toc220450231"/>
      <w:bookmarkStart w:id="90" w:name="_Toc149842441"/>
      <w:bookmarkStart w:id="91" w:name="_Toc524495445"/>
      <w:r>
        <w:rPr>
          <w:rFonts w:ascii="Times New Roman" w:hAnsi="Times New Roman" w:eastAsia="楷体_GB2312"/>
          <w:lang w:eastAsia="zh-CN"/>
        </w:rPr>
        <w:t>七、同意与弃权</w:t>
      </w:r>
      <w:bookmarkEnd w:id="86"/>
      <w:bookmarkEnd w:id="87"/>
      <w:bookmarkEnd w:id="88"/>
      <w:bookmarkEnd w:id="89"/>
      <w:bookmarkEnd w:id="90"/>
    </w:p>
    <w:p w14:paraId="060FFB24">
      <w:pPr>
        <w:pStyle w:val="43"/>
        <w:spacing w:before="156" w:beforeLines="50" w:after="156" w:afterLines="50" w:line="360" w:lineRule="auto"/>
        <w:rPr>
          <w:rFonts w:ascii="Times New Roman" w:hAnsi="Times New Roman" w:eastAsia="楷体_GB2312"/>
          <w:lang w:eastAsia="zh-CN"/>
        </w:rPr>
      </w:pPr>
      <w:r>
        <w:rPr>
          <w:rFonts w:ascii="Times New Roman" w:hAnsi="Times New Roman" w:eastAsia="楷体_GB2312"/>
          <w:lang w:eastAsia="zh-CN"/>
        </w:rPr>
        <w:t>“交易文件”提及的一方的同意，应指该方的书面同意，且“交易文件”提及的一方的弃权，应指该方对某行为或事件的书面弃权。</w:t>
      </w:r>
    </w:p>
    <w:bookmarkEnd w:id="91"/>
    <w:p w14:paraId="2E22503F">
      <w:pPr>
        <w:pStyle w:val="40"/>
        <w:spacing w:before="156" w:beforeLines="50" w:after="156" w:afterLines="50" w:line="360" w:lineRule="auto"/>
        <w:rPr>
          <w:rFonts w:ascii="Times New Roman" w:hAnsi="Times New Roman" w:eastAsia="楷体_GB2312"/>
          <w:lang w:eastAsia="zh-CN"/>
        </w:rPr>
      </w:pPr>
      <w:bookmarkStart w:id="92" w:name="_DV_M824"/>
      <w:bookmarkEnd w:id="92"/>
      <w:bookmarkStart w:id="93" w:name="_DV_M825"/>
      <w:bookmarkEnd w:id="93"/>
      <w:bookmarkStart w:id="94" w:name="_DV_M823"/>
      <w:bookmarkEnd w:id="94"/>
      <w:bookmarkStart w:id="95" w:name="_DV_M826"/>
      <w:bookmarkEnd w:id="95"/>
      <w:bookmarkStart w:id="96" w:name="_DV_M822"/>
      <w:bookmarkEnd w:id="96"/>
      <w:bookmarkStart w:id="97" w:name="_Toc220450232"/>
      <w:bookmarkStart w:id="98" w:name="_Toc173860451"/>
      <w:bookmarkStart w:id="99" w:name="_Toc121814290"/>
      <w:bookmarkStart w:id="100" w:name="_Toc80116311"/>
      <w:bookmarkStart w:id="101" w:name="_Toc524495447"/>
      <w:bookmarkStart w:id="102" w:name="_Toc149842442"/>
      <w:r>
        <w:rPr>
          <w:rFonts w:ascii="Times New Roman" w:hAnsi="Times New Roman" w:eastAsia="楷体_GB2312"/>
          <w:lang w:eastAsia="zh-CN"/>
        </w:rPr>
        <w:t>八、继任机构</w:t>
      </w:r>
      <w:bookmarkEnd w:id="97"/>
      <w:bookmarkEnd w:id="98"/>
      <w:bookmarkEnd w:id="99"/>
      <w:bookmarkEnd w:id="100"/>
      <w:bookmarkEnd w:id="101"/>
      <w:bookmarkEnd w:id="102"/>
    </w:p>
    <w:p w14:paraId="756D5541">
      <w:pPr>
        <w:pStyle w:val="43"/>
        <w:spacing w:before="156" w:beforeLines="50" w:after="156" w:afterLines="50" w:line="360" w:lineRule="auto"/>
        <w:rPr>
          <w:rFonts w:ascii="Times New Roman" w:hAnsi="Times New Roman" w:eastAsia="楷体_GB2312"/>
          <w:lang w:eastAsia="zh-CN"/>
        </w:rPr>
      </w:pPr>
      <w:r>
        <w:rPr>
          <w:rFonts w:ascii="Times New Roman" w:hAnsi="Times New Roman" w:eastAsia="楷体_GB2312"/>
          <w:lang w:eastAsia="zh-CN"/>
        </w:rPr>
        <w:t>除非上下文另有</w:t>
      </w:r>
      <w:r>
        <w:rPr>
          <w:rFonts w:hint="eastAsia" w:ascii="Times New Roman" w:hAnsi="Times New Roman" w:eastAsia="楷体_GB2312"/>
          <w:lang w:eastAsia="zh-CN"/>
        </w:rPr>
        <w:t>约定</w:t>
      </w:r>
      <w:r>
        <w:rPr>
          <w:rFonts w:ascii="Times New Roman" w:hAnsi="Times New Roman" w:eastAsia="楷体_GB2312"/>
          <w:lang w:eastAsia="zh-CN"/>
        </w:rPr>
        <w:t>，在“交易文件”中提及“交易文件”的一方时，应包括其继任机构（人），无论是通过担保还是通过其他方式。</w:t>
      </w:r>
    </w:p>
    <w:p w14:paraId="7E6C8CAE">
      <w:pPr>
        <w:pStyle w:val="40"/>
        <w:spacing w:before="156" w:beforeLines="50" w:after="156" w:afterLines="50" w:line="360" w:lineRule="auto"/>
        <w:rPr>
          <w:rFonts w:ascii="Times New Roman" w:hAnsi="Times New Roman" w:eastAsia="楷体_GB2312"/>
          <w:lang w:eastAsia="zh-CN"/>
        </w:rPr>
      </w:pPr>
      <w:bookmarkStart w:id="103" w:name="_DV_M828"/>
      <w:bookmarkEnd w:id="103"/>
      <w:bookmarkStart w:id="104" w:name="_Toc524495448"/>
      <w:bookmarkStart w:id="105" w:name="_Toc220450233"/>
      <w:bookmarkStart w:id="106" w:name="_Toc173860452"/>
      <w:bookmarkStart w:id="107" w:name="_Toc149842443"/>
      <w:bookmarkStart w:id="108" w:name="_Toc121814291"/>
      <w:bookmarkStart w:id="109" w:name="_Toc80116312"/>
      <w:r>
        <w:rPr>
          <w:rFonts w:ascii="Times New Roman" w:hAnsi="Times New Roman" w:eastAsia="楷体_GB2312"/>
          <w:lang w:eastAsia="zh-CN"/>
        </w:rPr>
        <w:t>九、变动</w:t>
      </w:r>
      <w:bookmarkEnd w:id="104"/>
      <w:bookmarkEnd w:id="105"/>
      <w:bookmarkEnd w:id="106"/>
      <w:bookmarkEnd w:id="107"/>
      <w:bookmarkEnd w:id="108"/>
      <w:bookmarkEnd w:id="109"/>
    </w:p>
    <w:p w14:paraId="255DE8F9">
      <w:pPr>
        <w:pStyle w:val="43"/>
        <w:spacing w:before="156" w:beforeLines="50" w:after="156" w:afterLines="50" w:line="360" w:lineRule="auto"/>
        <w:rPr>
          <w:rFonts w:ascii="Times New Roman" w:hAnsi="Times New Roman" w:eastAsia="楷体_GB2312"/>
          <w:lang w:eastAsia="zh-CN"/>
        </w:rPr>
      </w:pPr>
      <w:r>
        <w:rPr>
          <w:rFonts w:ascii="Times New Roman" w:hAnsi="Times New Roman" w:eastAsia="楷体_GB2312"/>
          <w:lang w:eastAsia="zh-CN"/>
        </w:rPr>
        <w:t>除非签署本“《主定义表》”的双方书面同意并且事先通知了“评级机构”，不得对本“《主定义表》”做出任何变动。</w:t>
      </w:r>
    </w:p>
    <w:p w14:paraId="1EBF5261">
      <w:pPr>
        <w:spacing w:before="156" w:beforeLines="50" w:after="156" w:afterLines="50" w:line="360" w:lineRule="auto"/>
        <w:outlineLvl w:val="0"/>
        <w:rPr>
          <w:rFonts w:ascii="Times New Roman" w:hAnsi="Times New Roman" w:eastAsia="楷体_GB2312"/>
          <w:b/>
          <w:sz w:val="24"/>
        </w:rPr>
      </w:pPr>
      <w:bookmarkStart w:id="110" w:name="_Toc151738959"/>
      <w:bookmarkStart w:id="111" w:name="_Toc176615628"/>
      <w:bookmarkStart w:id="112" w:name="_Toc220450234"/>
      <w:r>
        <w:rPr>
          <w:rFonts w:ascii="Times New Roman" w:hAnsi="Times New Roman" w:eastAsia="楷体_GB2312"/>
          <w:b/>
          <w:sz w:val="24"/>
        </w:rPr>
        <w:t>十、生效</w:t>
      </w:r>
      <w:bookmarkEnd w:id="110"/>
      <w:bookmarkEnd w:id="111"/>
      <w:bookmarkEnd w:id="112"/>
    </w:p>
    <w:p w14:paraId="2CC81660">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本“《主定义表》”经“发起机构”和“受托机构”的法定代表人或其授权代表签字或签章并盖章之日起生效。</w:t>
      </w:r>
    </w:p>
    <w:p w14:paraId="130F3120">
      <w:pPr>
        <w:spacing w:before="156" w:beforeLines="50" w:after="156" w:afterLines="50" w:line="360" w:lineRule="auto"/>
        <w:outlineLvl w:val="0"/>
        <w:rPr>
          <w:rFonts w:ascii="Times New Roman" w:hAnsi="Times New Roman" w:eastAsia="楷体_GB2312"/>
          <w:b/>
          <w:sz w:val="24"/>
        </w:rPr>
      </w:pPr>
      <w:bookmarkStart w:id="113" w:name="_Toc176615629"/>
      <w:bookmarkStart w:id="114" w:name="_Toc220450235"/>
      <w:r>
        <w:rPr>
          <w:rFonts w:ascii="Times New Roman" w:hAnsi="Times New Roman" w:eastAsia="楷体_GB2312"/>
          <w:b/>
          <w:sz w:val="24"/>
        </w:rPr>
        <w:t>十一、文本</w:t>
      </w:r>
      <w:bookmarkEnd w:id="113"/>
      <w:bookmarkEnd w:id="114"/>
    </w:p>
    <w:p w14:paraId="48DC60B5">
      <w:pPr>
        <w:spacing w:before="156" w:beforeLines="50" w:after="156" w:afterLines="50" w:line="360" w:lineRule="auto"/>
        <w:rPr>
          <w:rFonts w:ascii="Times New Roman" w:hAnsi="Times New Roman" w:eastAsia="楷体_GB2312"/>
          <w:sz w:val="24"/>
        </w:rPr>
      </w:pPr>
      <w:r>
        <w:rPr>
          <w:rFonts w:ascii="Times New Roman" w:hAnsi="Times New Roman" w:eastAsia="楷体_GB2312"/>
          <w:sz w:val="24"/>
        </w:rPr>
        <w:t>本“《主定义表》”一式【】份，每份具有同等法律效力；“发起机构”持【】份，“受托机构”持【】份，其余</w:t>
      </w:r>
      <w:r>
        <w:rPr>
          <w:rFonts w:hint="eastAsia" w:ascii="Times New Roman" w:hAnsi="Times New Roman" w:eastAsia="楷体_GB2312"/>
          <w:sz w:val="24"/>
        </w:rPr>
        <w:t>【】</w:t>
      </w:r>
      <w:r>
        <w:rPr>
          <w:rFonts w:ascii="Times New Roman" w:hAnsi="Times New Roman" w:eastAsia="楷体_GB2312"/>
          <w:sz w:val="24"/>
        </w:rPr>
        <w:t>份合同用于与本项目相关的监管报备，在提交报备前留存于“受托人”处。</w:t>
      </w:r>
    </w:p>
    <w:p w14:paraId="4976CF8D">
      <w:pPr>
        <w:spacing w:before="156" w:beforeLines="50" w:after="156" w:afterLines="50" w:line="360" w:lineRule="auto"/>
        <w:rPr>
          <w:rFonts w:ascii="Times New Roman" w:hAnsi="Times New Roman" w:eastAsia="楷体_GB2312"/>
          <w:i/>
          <w:sz w:val="24"/>
        </w:rPr>
      </w:pPr>
      <w:r>
        <w:rPr>
          <w:rFonts w:ascii="Times New Roman" w:hAnsi="Times New Roman" w:eastAsia="楷体_GB2312"/>
          <w:i/>
          <w:sz w:val="24"/>
        </w:rPr>
        <w:t>（以下无正文）</w:t>
      </w:r>
    </w:p>
    <w:p w14:paraId="6E053F38">
      <w:pPr>
        <w:widowControl/>
        <w:jc w:val="left"/>
        <w:rPr>
          <w:rFonts w:eastAsia="楷体_GB2312"/>
          <w:b/>
          <w:sz w:val="24"/>
        </w:rPr>
      </w:pPr>
      <w:r>
        <w:rPr>
          <w:rFonts w:ascii="Times New Roman" w:hAnsi="Times New Roman" w:eastAsia="楷体_GB2312"/>
        </w:rPr>
        <w:br w:type="page"/>
      </w:r>
      <w:bookmarkStart w:id="115" w:name="_DV_M830"/>
      <w:bookmarkEnd w:id="115"/>
      <w:bookmarkStart w:id="116" w:name="_DV_M833"/>
      <w:bookmarkEnd w:id="116"/>
      <w:bookmarkStart w:id="117" w:name="_DV_M840"/>
      <w:bookmarkEnd w:id="117"/>
      <w:bookmarkStart w:id="118" w:name="_DV_M838"/>
      <w:bookmarkEnd w:id="118"/>
      <w:bookmarkStart w:id="119" w:name="_DV_M831"/>
      <w:bookmarkEnd w:id="119"/>
      <w:bookmarkStart w:id="120" w:name="_DV_M839"/>
      <w:bookmarkEnd w:id="120"/>
      <w:bookmarkStart w:id="121" w:name="_DV_M845"/>
      <w:bookmarkEnd w:id="121"/>
      <w:bookmarkStart w:id="122" w:name="_DV_M835"/>
      <w:bookmarkEnd w:id="122"/>
      <w:bookmarkStart w:id="123" w:name="_DV_M832"/>
      <w:bookmarkEnd w:id="123"/>
      <w:bookmarkStart w:id="124" w:name="_DV_M834"/>
      <w:bookmarkEnd w:id="124"/>
      <w:bookmarkStart w:id="125" w:name="_DV_M848"/>
      <w:bookmarkEnd w:id="125"/>
      <w:bookmarkStart w:id="126" w:name="_DV_M844"/>
      <w:bookmarkEnd w:id="126"/>
      <w:bookmarkStart w:id="127" w:name="_DV_M843"/>
      <w:bookmarkEnd w:id="127"/>
    </w:p>
    <w:p w14:paraId="5A572FDE">
      <w:pPr>
        <w:widowControl/>
        <w:jc w:val="left"/>
        <w:rPr>
          <w:rFonts w:eastAsia="楷体_GB2312"/>
          <w:b/>
          <w:sz w:val="24"/>
        </w:rPr>
      </w:pPr>
      <w:r>
        <w:rPr>
          <w:rFonts w:hint="eastAsia" w:eastAsia="楷体_GB2312"/>
          <w:b/>
          <w:sz w:val="24"/>
        </w:rPr>
        <w:t>（本页无正文，为编号为【主定义表编号】的</w:t>
      </w:r>
      <w:r>
        <w:rPr>
          <w:rFonts w:eastAsia="楷体_GB2312"/>
          <w:b/>
          <w:sz w:val="24"/>
        </w:rPr>
        <w:t>《【信托名称】主定义表》</w:t>
      </w:r>
      <w:r>
        <w:rPr>
          <w:rFonts w:hint="eastAsia" w:eastAsia="楷体_GB2312"/>
          <w:b/>
          <w:sz w:val="24"/>
        </w:rPr>
        <w:t>签字盖章页）</w:t>
      </w:r>
    </w:p>
    <w:p w14:paraId="5DD44079">
      <w:pPr>
        <w:spacing w:before="156" w:beforeLines="50" w:after="156" w:afterLines="50" w:line="360" w:lineRule="auto"/>
        <w:jc w:val="center"/>
        <w:rPr>
          <w:rFonts w:eastAsia="仿宋_GB2312"/>
          <w:b/>
          <w:sz w:val="24"/>
        </w:rPr>
      </w:pPr>
    </w:p>
    <w:p w14:paraId="32BA4038">
      <w:pPr>
        <w:spacing w:line="360" w:lineRule="auto"/>
        <w:jc w:val="center"/>
        <w:outlineLvl w:val="0"/>
        <w:rPr>
          <w:rFonts w:hint="eastAsia" w:ascii="楷体_GB2312" w:hAnsi="楷体_GB2312" w:eastAsia="楷体_GB2312"/>
          <w:b/>
          <w:sz w:val="36"/>
          <w:szCs w:val="36"/>
        </w:rPr>
      </w:pPr>
      <w:r>
        <w:rPr>
          <w:rFonts w:hint="eastAsia" w:ascii="楷体_GB2312" w:hAnsi="楷体_GB2312" w:eastAsia="楷体_GB2312"/>
          <w:b/>
          <w:sz w:val="36"/>
          <w:szCs w:val="36"/>
        </w:rPr>
        <w:t>【信托名称】</w:t>
      </w:r>
    </w:p>
    <w:p w14:paraId="2E3E6B27">
      <w:pPr>
        <w:spacing w:line="360" w:lineRule="auto"/>
        <w:jc w:val="center"/>
        <w:outlineLvl w:val="0"/>
        <w:rPr>
          <w:rFonts w:hint="eastAsia" w:ascii="楷体_GB2312" w:hAnsi="楷体_GB2312" w:eastAsia="楷体_GB2312"/>
          <w:b/>
          <w:sz w:val="36"/>
          <w:szCs w:val="36"/>
        </w:rPr>
      </w:pPr>
      <w:r>
        <w:rPr>
          <w:rFonts w:hint="eastAsia" w:ascii="楷体_GB2312" w:hAnsi="楷体_GB2312" w:eastAsia="楷体_GB2312"/>
          <w:b/>
          <w:sz w:val="36"/>
          <w:szCs w:val="36"/>
        </w:rPr>
        <w:t>主定义表</w:t>
      </w:r>
    </w:p>
    <w:p w14:paraId="2BA18399">
      <w:pPr>
        <w:pStyle w:val="5"/>
        <w:spacing w:after="0" w:line="360" w:lineRule="auto"/>
        <w:jc w:val="center"/>
        <w:rPr>
          <w:rFonts w:hint="eastAsia" w:ascii="楷体_GB2312" w:hAnsi="楷体_GB2312" w:eastAsia="楷体_GB2312"/>
          <w:b/>
          <w:sz w:val="24"/>
        </w:rPr>
      </w:pPr>
    </w:p>
    <w:p w14:paraId="6E42428C">
      <w:pPr>
        <w:pStyle w:val="5"/>
        <w:spacing w:after="0" w:line="360" w:lineRule="auto"/>
        <w:jc w:val="center"/>
        <w:rPr>
          <w:rFonts w:hint="eastAsia" w:ascii="楷体_GB2312" w:hAnsi="楷体_GB2312" w:eastAsia="楷体_GB2312"/>
          <w:b/>
          <w:sz w:val="24"/>
        </w:rPr>
      </w:pPr>
      <w:r>
        <w:rPr>
          <w:rFonts w:hint="eastAsia" w:ascii="楷体_GB2312" w:hAnsi="楷体_GB2312" w:eastAsia="楷体_GB2312"/>
          <w:b/>
          <w:sz w:val="24"/>
        </w:rPr>
        <w:t>签署页</w:t>
      </w:r>
    </w:p>
    <w:p w14:paraId="7EFFD703">
      <w:pPr>
        <w:pStyle w:val="5"/>
        <w:spacing w:after="0" w:line="360" w:lineRule="auto"/>
        <w:ind w:firstLine="477" w:firstLineChars="198"/>
        <w:rPr>
          <w:rFonts w:hint="eastAsia" w:ascii="楷体_GB2312" w:hAnsi="楷体_GB2312" w:eastAsia="楷体_GB2312"/>
          <w:b/>
          <w:sz w:val="24"/>
        </w:rPr>
      </w:pPr>
    </w:p>
    <w:p w14:paraId="37E88C7F">
      <w:pPr>
        <w:pStyle w:val="5"/>
        <w:spacing w:after="0" w:line="360" w:lineRule="auto"/>
        <w:ind w:firstLine="477" w:firstLineChars="198"/>
        <w:rPr>
          <w:rFonts w:hint="eastAsia" w:ascii="楷体_GB2312" w:hAnsi="楷体_GB2312" w:eastAsia="楷体_GB2312"/>
          <w:b/>
          <w:sz w:val="24"/>
        </w:rPr>
      </w:pPr>
    </w:p>
    <w:p w14:paraId="6F62A818">
      <w:pPr>
        <w:pStyle w:val="5"/>
        <w:spacing w:after="0" w:line="360" w:lineRule="auto"/>
        <w:ind w:firstLine="477" w:firstLineChars="198"/>
        <w:rPr>
          <w:rFonts w:hint="eastAsia" w:ascii="楷体_GB2312" w:hAnsi="楷体_GB2312" w:eastAsia="楷体_GB2312"/>
          <w:b/>
          <w:sz w:val="24"/>
        </w:rPr>
      </w:pPr>
    </w:p>
    <w:p w14:paraId="36D79742">
      <w:pPr>
        <w:pStyle w:val="5"/>
        <w:spacing w:after="0" w:line="360" w:lineRule="auto"/>
        <w:ind w:firstLine="477" w:firstLineChars="198"/>
        <w:rPr>
          <w:rFonts w:hint="eastAsia" w:ascii="楷体_GB2312" w:hAnsi="楷体_GB2312" w:eastAsia="楷体_GB2312"/>
          <w:b/>
          <w:sz w:val="24"/>
        </w:rPr>
      </w:pPr>
    </w:p>
    <w:p w14:paraId="07D2803E">
      <w:pPr>
        <w:spacing w:line="360" w:lineRule="auto"/>
        <w:rPr>
          <w:rFonts w:hint="eastAsia" w:ascii="楷体_GB2312" w:hAnsi="楷体_GB2312" w:eastAsia="楷体_GB2312"/>
          <w:b/>
          <w:sz w:val="30"/>
          <w:szCs w:val="30"/>
        </w:rPr>
      </w:pPr>
      <w:r>
        <w:rPr>
          <w:rFonts w:hint="eastAsia" w:ascii="楷体_GB2312" w:hAnsi="楷体_GB2312" w:eastAsia="楷体_GB2312"/>
          <w:b/>
          <w:sz w:val="30"/>
          <w:szCs w:val="30"/>
        </w:rPr>
        <w:t>【发起机构全称】（公章或合同专用章）</w:t>
      </w:r>
    </w:p>
    <w:p w14:paraId="318E8605">
      <w:pPr>
        <w:spacing w:after="156" w:afterLines="50" w:line="360" w:lineRule="auto"/>
        <w:rPr>
          <w:rFonts w:hint="eastAsia" w:ascii="楷体_GB2312" w:hAnsi="楷体_GB2312" w:eastAsia="楷体_GB2312"/>
          <w:kern w:val="0"/>
          <w:sz w:val="24"/>
        </w:rPr>
      </w:pPr>
      <w:r>
        <w:rPr>
          <w:rFonts w:hint="eastAsia" w:ascii="楷体_GB2312" w:hAnsi="楷体_GB2312" w:eastAsia="楷体_GB2312"/>
          <w:kern w:val="0"/>
          <w:sz w:val="24"/>
        </w:rPr>
        <w:t>（作为委托人和发起机构）</w:t>
      </w:r>
    </w:p>
    <w:p w14:paraId="43B829D6">
      <w:pPr>
        <w:spacing w:after="156" w:afterLines="50" w:line="360" w:lineRule="auto"/>
        <w:rPr>
          <w:rFonts w:hint="eastAsia" w:ascii="楷体_GB2312" w:hAnsi="楷体_GB2312" w:eastAsia="楷体_GB2312"/>
          <w:kern w:val="0"/>
          <w:sz w:val="24"/>
        </w:rPr>
      </w:pPr>
    </w:p>
    <w:p w14:paraId="0B29BD2E">
      <w:pPr>
        <w:spacing w:after="156" w:afterLines="50" w:line="360" w:lineRule="auto"/>
        <w:rPr>
          <w:rFonts w:hint="eastAsia" w:ascii="楷体_GB2312" w:hAnsi="楷体_GB2312" w:eastAsia="楷体_GB2312"/>
          <w:kern w:val="0"/>
          <w:sz w:val="24"/>
        </w:rPr>
      </w:pPr>
      <w:r>
        <w:rPr>
          <w:rFonts w:hint="eastAsia" w:ascii="楷体_GB2312" w:hAnsi="楷体_GB2312" w:eastAsia="楷体_GB2312"/>
          <w:kern w:val="0"/>
          <w:sz w:val="24"/>
        </w:rPr>
        <w:t>法定代表人或授权代表（签名或盖章）：</w:t>
      </w:r>
    </w:p>
    <w:p w14:paraId="5B4B374B">
      <w:pPr>
        <w:spacing w:line="360" w:lineRule="auto"/>
        <w:rPr>
          <w:rFonts w:hint="eastAsia" w:ascii="楷体_GB2312" w:hAnsi="楷体_GB2312" w:eastAsia="楷体_GB2312"/>
          <w:kern w:val="0"/>
          <w:sz w:val="24"/>
        </w:rPr>
      </w:pPr>
      <w:r>
        <w:rPr>
          <w:rFonts w:hint="eastAsia" w:ascii="楷体_GB2312" w:hAnsi="楷体_GB2312" w:eastAsia="楷体_GB2312"/>
          <w:kern w:val="0"/>
          <w:sz w:val="24"/>
        </w:rPr>
        <w:t>签署日期：【</w:t>
      </w:r>
      <w:r>
        <w:rPr>
          <w:rFonts w:ascii="楷体_GB2312" w:hAnsi="楷体_GB2312" w:eastAsia="楷体_GB2312"/>
          <w:kern w:val="0"/>
          <w:sz w:val="24"/>
        </w:rPr>
        <w:t xml:space="preserve">    </w:t>
      </w:r>
      <w:r>
        <w:rPr>
          <w:rFonts w:hint="eastAsia" w:ascii="楷体_GB2312" w:hAnsi="楷体_GB2312" w:eastAsia="楷体_GB2312"/>
          <w:kern w:val="0"/>
          <w:sz w:val="24"/>
        </w:rPr>
        <w:t>】年【</w:t>
      </w:r>
      <w:r>
        <w:rPr>
          <w:rFonts w:ascii="楷体_GB2312" w:hAnsi="楷体_GB2312" w:eastAsia="楷体_GB2312"/>
          <w:kern w:val="0"/>
          <w:sz w:val="24"/>
        </w:rPr>
        <w:t xml:space="preserve">   </w:t>
      </w:r>
      <w:r>
        <w:rPr>
          <w:rFonts w:hint="eastAsia" w:ascii="楷体_GB2312" w:hAnsi="楷体_GB2312" w:eastAsia="楷体_GB2312"/>
          <w:kern w:val="0"/>
          <w:sz w:val="24"/>
        </w:rPr>
        <w:t>】月【</w:t>
      </w:r>
      <w:r>
        <w:rPr>
          <w:rFonts w:ascii="楷体_GB2312" w:hAnsi="楷体_GB2312" w:eastAsia="楷体_GB2312"/>
          <w:kern w:val="0"/>
          <w:sz w:val="24"/>
        </w:rPr>
        <w:t xml:space="preserve">   </w:t>
      </w:r>
      <w:r>
        <w:rPr>
          <w:rFonts w:hint="eastAsia" w:ascii="楷体_GB2312" w:hAnsi="楷体_GB2312" w:eastAsia="楷体_GB2312"/>
          <w:kern w:val="0"/>
          <w:sz w:val="24"/>
        </w:rPr>
        <w:t>】日</w:t>
      </w:r>
    </w:p>
    <w:p w14:paraId="6F95312E">
      <w:pPr>
        <w:spacing w:before="156" w:beforeLines="50" w:after="156" w:afterLines="50" w:line="360" w:lineRule="auto"/>
        <w:rPr>
          <w:rFonts w:ascii="Times New Roman" w:hAnsi="Times New Roman" w:eastAsia="楷体_GB2312"/>
          <w:b/>
          <w:sz w:val="30"/>
          <w:szCs w:val="30"/>
        </w:rPr>
      </w:pPr>
    </w:p>
    <w:p w14:paraId="498C91FE">
      <w:pPr>
        <w:widowControl/>
        <w:jc w:val="left"/>
        <w:rPr>
          <w:rFonts w:eastAsia="楷体_GB2312"/>
          <w:b/>
          <w:sz w:val="24"/>
        </w:rPr>
      </w:pPr>
      <w:r>
        <w:rPr>
          <w:rFonts w:ascii="Times New Roman" w:hAnsi="Times New Roman" w:eastAsia="楷体_GB2312"/>
          <w:b/>
          <w:sz w:val="30"/>
          <w:szCs w:val="30"/>
        </w:rPr>
        <w:br w:type="page"/>
      </w:r>
    </w:p>
    <w:p w14:paraId="30C9A6D9">
      <w:pPr>
        <w:widowControl/>
        <w:jc w:val="left"/>
        <w:rPr>
          <w:rFonts w:eastAsia="楷体_GB2312"/>
          <w:b/>
          <w:sz w:val="24"/>
        </w:rPr>
      </w:pPr>
      <w:r>
        <w:rPr>
          <w:rFonts w:eastAsia="楷体_GB2312"/>
          <w:b/>
          <w:sz w:val="24"/>
        </w:rPr>
        <w:t>（</w:t>
      </w:r>
      <w:r>
        <w:rPr>
          <w:rFonts w:hint="eastAsia" w:eastAsia="楷体_GB2312"/>
          <w:b/>
          <w:sz w:val="24"/>
        </w:rPr>
        <w:t>本页无正文，为</w:t>
      </w:r>
      <w:r>
        <w:rPr>
          <w:rFonts w:eastAsia="楷体_GB2312"/>
          <w:b/>
          <w:sz w:val="24"/>
        </w:rPr>
        <w:t>编号为</w:t>
      </w:r>
      <w:r>
        <w:rPr>
          <w:rFonts w:hint="eastAsia" w:eastAsia="楷体_GB2312"/>
          <w:b/>
          <w:sz w:val="24"/>
        </w:rPr>
        <w:t>【主定义表编号】</w:t>
      </w:r>
      <w:r>
        <w:rPr>
          <w:rFonts w:eastAsia="楷体_GB2312"/>
          <w:b/>
          <w:sz w:val="24"/>
        </w:rPr>
        <w:t>的《【信托名称】主定义表》</w:t>
      </w:r>
      <w:r>
        <w:rPr>
          <w:rFonts w:hint="eastAsia" w:eastAsia="楷体_GB2312"/>
          <w:b/>
          <w:sz w:val="24"/>
        </w:rPr>
        <w:t>签字盖章页</w:t>
      </w:r>
      <w:r>
        <w:rPr>
          <w:rFonts w:eastAsia="楷体_GB2312"/>
          <w:b/>
          <w:sz w:val="24"/>
        </w:rPr>
        <w:t>）</w:t>
      </w:r>
    </w:p>
    <w:p w14:paraId="4312AA0C">
      <w:pPr>
        <w:spacing w:before="156" w:beforeLines="50" w:after="156" w:afterLines="50" w:line="360" w:lineRule="auto"/>
        <w:jc w:val="center"/>
        <w:rPr>
          <w:rFonts w:eastAsia="仿宋_GB2312"/>
          <w:b/>
          <w:sz w:val="24"/>
        </w:rPr>
      </w:pPr>
    </w:p>
    <w:p w14:paraId="3E1278AF">
      <w:pPr>
        <w:spacing w:line="360" w:lineRule="auto"/>
        <w:jc w:val="center"/>
        <w:outlineLvl w:val="0"/>
        <w:rPr>
          <w:rFonts w:hint="eastAsia" w:ascii="楷体_GB2312" w:hAnsi="楷体_GB2312" w:eastAsia="楷体_GB2312"/>
          <w:b/>
          <w:sz w:val="36"/>
          <w:szCs w:val="36"/>
        </w:rPr>
      </w:pPr>
      <w:r>
        <w:rPr>
          <w:rFonts w:hint="eastAsia" w:ascii="楷体_GB2312" w:hAnsi="楷体_GB2312" w:eastAsia="楷体_GB2312"/>
          <w:b/>
          <w:sz w:val="36"/>
          <w:szCs w:val="36"/>
        </w:rPr>
        <w:t>【信托名称】</w:t>
      </w:r>
    </w:p>
    <w:p w14:paraId="65ACA1BF">
      <w:pPr>
        <w:spacing w:line="360" w:lineRule="auto"/>
        <w:jc w:val="center"/>
        <w:outlineLvl w:val="0"/>
        <w:rPr>
          <w:rFonts w:hint="eastAsia" w:ascii="楷体_GB2312" w:hAnsi="楷体_GB2312" w:eastAsia="楷体_GB2312"/>
          <w:b/>
          <w:sz w:val="36"/>
          <w:szCs w:val="36"/>
        </w:rPr>
      </w:pPr>
      <w:r>
        <w:rPr>
          <w:rFonts w:ascii="楷体_GB2312" w:hAnsi="楷体_GB2312" w:eastAsia="楷体_GB2312"/>
          <w:b/>
          <w:sz w:val="36"/>
          <w:szCs w:val="36"/>
        </w:rPr>
        <w:t>主定义表</w:t>
      </w:r>
    </w:p>
    <w:p w14:paraId="2AC603DD">
      <w:pPr>
        <w:pStyle w:val="5"/>
        <w:spacing w:after="0" w:line="360" w:lineRule="auto"/>
        <w:jc w:val="center"/>
        <w:rPr>
          <w:rFonts w:hint="eastAsia" w:ascii="楷体_GB2312" w:hAnsi="楷体_GB2312" w:eastAsia="楷体_GB2312"/>
          <w:b/>
          <w:sz w:val="24"/>
        </w:rPr>
      </w:pPr>
    </w:p>
    <w:p w14:paraId="098F0935">
      <w:pPr>
        <w:pStyle w:val="5"/>
        <w:spacing w:after="0" w:line="360" w:lineRule="auto"/>
        <w:jc w:val="center"/>
        <w:rPr>
          <w:rFonts w:hint="eastAsia" w:ascii="楷体_GB2312" w:hAnsi="楷体_GB2312" w:eastAsia="楷体_GB2312"/>
          <w:b/>
          <w:sz w:val="24"/>
        </w:rPr>
      </w:pPr>
      <w:r>
        <w:rPr>
          <w:rFonts w:ascii="楷体_GB2312" w:hAnsi="楷体_GB2312" w:eastAsia="楷体_GB2312"/>
          <w:b/>
          <w:sz w:val="24"/>
        </w:rPr>
        <w:t>签署页</w:t>
      </w:r>
    </w:p>
    <w:p w14:paraId="4F60FA83">
      <w:pPr>
        <w:pStyle w:val="43"/>
        <w:spacing w:before="50" w:after="50" w:line="360" w:lineRule="auto"/>
        <w:rPr>
          <w:rFonts w:hint="eastAsia" w:ascii="楷体_GB2312" w:hAnsi="楷体_GB2312" w:eastAsia="楷体_GB2312"/>
          <w:lang w:eastAsia="zh-CN"/>
        </w:rPr>
      </w:pPr>
    </w:p>
    <w:p w14:paraId="56775FA3">
      <w:pPr>
        <w:pStyle w:val="5"/>
        <w:spacing w:after="0" w:line="360" w:lineRule="auto"/>
        <w:rPr>
          <w:rFonts w:hint="eastAsia" w:ascii="楷体_GB2312" w:hAnsi="楷体_GB2312" w:eastAsia="楷体_GB2312"/>
          <w:b/>
          <w:sz w:val="24"/>
        </w:rPr>
      </w:pPr>
    </w:p>
    <w:p w14:paraId="3C9CC735">
      <w:pPr>
        <w:pStyle w:val="5"/>
        <w:spacing w:after="0" w:line="360" w:lineRule="auto"/>
        <w:rPr>
          <w:rFonts w:hint="eastAsia" w:ascii="楷体_GB2312" w:hAnsi="楷体_GB2312" w:eastAsia="楷体_GB2312"/>
          <w:b/>
          <w:sz w:val="24"/>
        </w:rPr>
      </w:pPr>
    </w:p>
    <w:p w14:paraId="659311AC">
      <w:pPr>
        <w:pStyle w:val="5"/>
        <w:spacing w:line="360" w:lineRule="auto"/>
        <w:rPr>
          <w:rFonts w:hint="eastAsia" w:ascii="楷体_GB2312" w:hAnsi="楷体_GB2312" w:eastAsia="楷体_GB2312"/>
          <w:b/>
          <w:sz w:val="24"/>
        </w:rPr>
      </w:pPr>
    </w:p>
    <w:p w14:paraId="5619D005">
      <w:pPr>
        <w:spacing w:line="360" w:lineRule="auto"/>
        <w:rPr>
          <w:rFonts w:hint="eastAsia" w:ascii="楷体_GB2312" w:hAnsi="楷体_GB2312" w:eastAsia="楷体_GB2312"/>
          <w:b/>
          <w:sz w:val="30"/>
          <w:szCs w:val="30"/>
        </w:rPr>
      </w:pPr>
      <w:r>
        <w:rPr>
          <w:rFonts w:ascii="楷体_GB2312" w:hAnsi="楷体_GB2312" w:eastAsia="楷体_GB2312"/>
          <w:b/>
          <w:sz w:val="30"/>
          <w:szCs w:val="30"/>
        </w:rPr>
        <w:t>【</w:t>
      </w:r>
      <w:r>
        <w:rPr>
          <w:rFonts w:hint="eastAsia" w:ascii="楷体_GB2312" w:hAnsi="楷体_GB2312" w:eastAsia="楷体_GB2312"/>
          <w:b/>
          <w:sz w:val="30"/>
          <w:szCs w:val="30"/>
        </w:rPr>
        <w:t>受托</w:t>
      </w:r>
      <w:r>
        <w:rPr>
          <w:rFonts w:ascii="楷体_GB2312" w:hAnsi="楷体_GB2312" w:eastAsia="楷体_GB2312"/>
          <w:b/>
          <w:sz w:val="30"/>
          <w:szCs w:val="30"/>
        </w:rPr>
        <w:t>机构</w:t>
      </w:r>
      <w:r>
        <w:rPr>
          <w:rFonts w:hint="eastAsia" w:ascii="楷体_GB2312" w:hAnsi="楷体_GB2312" w:eastAsia="楷体_GB2312"/>
          <w:b/>
          <w:sz w:val="30"/>
          <w:szCs w:val="30"/>
        </w:rPr>
        <w:t>全称</w:t>
      </w:r>
      <w:r>
        <w:rPr>
          <w:rFonts w:ascii="楷体_GB2312" w:hAnsi="楷体_GB2312" w:eastAsia="楷体_GB2312"/>
          <w:b/>
          <w:sz w:val="30"/>
          <w:szCs w:val="30"/>
        </w:rPr>
        <w:t>】（公章或合同专用章）</w:t>
      </w:r>
    </w:p>
    <w:p w14:paraId="374E362B">
      <w:pPr>
        <w:spacing w:after="156" w:afterLines="50" w:line="360" w:lineRule="auto"/>
        <w:rPr>
          <w:rFonts w:hint="eastAsia" w:ascii="楷体_GB2312" w:hAnsi="楷体_GB2312" w:eastAsia="楷体_GB2312"/>
          <w:kern w:val="0"/>
          <w:sz w:val="24"/>
        </w:rPr>
      </w:pPr>
      <w:r>
        <w:rPr>
          <w:rFonts w:ascii="楷体_GB2312" w:hAnsi="楷体_GB2312" w:eastAsia="楷体_GB2312"/>
          <w:kern w:val="0"/>
          <w:sz w:val="24"/>
        </w:rPr>
        <w:t>（作为</w:t>
      </w:r>
      <w:r>
        <w:rPr>
          <w:rFonts w:hint="eastAsia" w:ascii="楷体_GB2312" w:hAnsi="楷体_GB2312" w:eastAsia="楷体_GB2312"/>
          <w:kern w:val="0"/>
          <w:sz w:val="24"/>
        </w:rPr>
        <w:t>受托人、受托机构和发行人</w:t>
      </w:r>
      <w:r>
        <w:rPr>
          <w:rFonts w:ascii="楷体_GB2312" w:hAnsi="楷体_GB2312" w:eastAsia="楷体_GB2312"/>
          <w:kern w:val="0"/>
          <w:sz w:val="24"/>
        </w:rPr>
        <w:t>）</w:t>
      </w:r>
    </w:p>
    <w:p w14:paraId="4E80EE1B">
      <w:pPr>
        <w:spacing w:after="156" w:afterLines="50" w:line="360" w:lineRule="auto"/>
        <w:rPr>
          <w:rFonts w:hint="eastAsia" w:ascii="楷体_GB2312" w:hAnsi="楷体_GB2312" w:eastAsia="楷体_GB2312"/>
          <w:kern w:val="0"/>
          <w:sz w:val="24"/>
        </w:rPr>
      </w:pPr>
    </w:p>
    <w:p w14:paraId="433B5D85">
      <w:pPr>
        <w:spacing w:after="156" w:afterLines="50" w:line="360" w:lineRule="auto"/>
        <w:rPr>
          <w:rFonts w:hint="eastAsia" w:ascii="楷体_GB2312" w:hAnsi="楷体_GB2312" w:eastAsia="楷体_GB2312"/>
          <w:kern w:val="0"/>
          <w:sz w:val="24"/>
        </w:rPr>
      </w:pPr>
      <w:r>
        <w:rPr>
          <w:rFonts w:ascii="楷体_GB2312" w:hAnsi="楷体_GB2312" w:eastAsia="楷体_GB2312"/>
          <w:kern w:val="0"/>
          <w:sz w:val="24"/>
        </w:rPr>
        <w:t>法定代表人或授权</w:t>
      </w:r>
      <w:r>
        <w:rPr>
          <w:rFonts w:hint="eastAsia" w:ascii="楷体_GB2312" w:hAnsi="楷体_GB2312" w:eastAsia="楷体_GB2312"/>
          <w:kern w:val="0"/>
          <w:sz w:val="24"/>
        </w:rPr>
        <w:t>代表</w:t>
      </w:r>
      <w:r>
        <w:rPr>
          <w:rFonts w:ascii="楷体_GB2312" w:hAnsi="楷体_GB2312" w:eastAsia="楷体_GB2312"/>
          <w:kern w:val="0"/>
          <w:sz w:val="24"/>
        </w:rPr>
        <w:t>（签名或盖章）：</w:t>
      </w:r>
    </w:p>
    <w:p w14:paraId="577F9DBE">
      <w:pPr>
        <w:spacing w:before="156" w:beforeLines="50" w:after="156" w:afterLines="50" w:line="360" w:lineRule="auto"/>
        <w:rPr>
          <w:rFonts w:ascii="Times New Roman" w:hAnsi="Times New Roman" w:eastAsia="楷体_GB2312"/>
        </w:rPr>
      </w:pPr>
      <w:r>
        <w:rPr>
          <w:rFonts w:ascii="楷体_GB2312" w:hAnsi="楷体_GB2312" w:eastAsia="楷体_GB2312"/>
          <w:kern w:val="0"/>
          <w:sz w:val="24"/>
        </w:rPr>
        <w:t>签署日期：【    】年【   】月【   】日</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95903">
    <w:pPr>
      <w:pStyle w:val="11"/>
      <w:framePr w:wrap="around" w:vAnchor="text" w:hAnchor="margin" w:xAlign="center" w:y="1"/>
      <w:rPr>
        <w:rStyle w:val="25"/>
      </w:rPr>
    </w:pPr>
    <w:r>
      <w:rPr>
        <w:rStyle w:val="25"/>
      </w:rPr>
      <w:fldChar w:fldCharType="begin"/>
    </w:r>
    <w:r>
      <w:rPr>
        <w:rStyle w:val="25"/>
      </w:rPr>
      <w:instrText xml:space="preserve">PAGE  </w:instrText>
    </w:r>
    <w:r>
      <w:rPr>
        <w:rStyle w:val="25"/>
      </w:rPr>
      <w:fldChar w:fldCharType="separate"/>
    </w:r>
    <w:r>
      <w:rPr>
        <w:rStyle w:val="25"/>
      </w:rPr>
      <w:t>30</w:t>
    </w:r>
    <w:r>
      <w:rPr>
        <w:rStyle w:val="25"/>
      </w:rPr>
      <w:fldChar w:fldCharType="end"/>
    </w:r>
  </w:p>
  <w:p w14:paraId="17F8C6A6">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C08B0">
    <w:pPr>
      <w:pStyle w:val="11"/>
      <w:framePr w:wrap="around" w:vAnchor="text" w:hAnchor="margin" w:xAlign="center" w:y="1"/>
      <w:rPr>
        <w:rStyle w:val="25"/>
      </w:rPr>
    </w:pPr>
    <w:r>
      <w:rPr>
        <w:rStyle w:val="25"/>
      </w:rPr>
      <w:fldChar w:fldCharType="begin"/>
    </w:r>
    <w:r>
      <w:rPr>
        <w:rStyle w:val="25"/>
      </w:rPr>
      <w:instrText xml:space="preserve">PAGE  </w:instrText>
    </w:r>
    <w:r>
      <w:rPr>
        <w:rStyle w:val="25"/>
      </w:rPr>
      <w:fldChar w:fldCharType="end"/>
    </w:r>
  </w:p>
  <w:p w14:paraId="20962B72">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1152B">
    <w:pPr>
      <w:pStyle w:val="11"/>
      <w:jc w:val="center"/>
    </w:pPr>
    <w:r>
      <w:fldChar w:fldCharType="begin"/>
    </w:r>
    <w:r>
      <w:instrText xml:space="preserve">PAGE   \* MERGEFORMAT</w:instrText>
    </w:r>
    <w:r>
      <w:fldChar w:fldCharType="separate"/>
    </w:r>
    <w:r>
      <w:rPr>
        <w:lang w:val="zh-CN"/>
      </w:rPr>
      <w:t>I</w:t>
    </w:r>
    <w:r>
      <w:rPr>
        <w:lang w:val="zh-CN"/>
      </w:rPr>
      <w:fldChar w:fldCharType="end"/>
    </w:r>
  </w:p>
  <w:p w14:paraId="7BC5D89A">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50CE41E">
      <w:pPr>
        <w:pStyle w:val="17"/>
      </w:pPr>
      <w:r>
        <w:rPr>
          <w:rStyle w:val="29"/>
        </w:rPr>
        <w:footnoteRef/>
      </w:r>
      <w:r>
        <w:t xml:space="preserve"> </w:t>
      </w:r>
      <w:r>
        <w:rPr>
          <w:rFonts w:hint="eastAsia" w:ascii="楷体_GB2312" w:hAnsi="楷体_GB2312" w:eastAsia="楷体_GB2312" w:cs="楷体_GB2312"/>
        </w:rPr>
        <w:t>本合同版本作为个人消费类贷款资产支持证券的标准范本供市场机构参考，非强制适用，合同条款可根据项目具体情况予以调整，法律法规另有规定的除外。</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17AAF"/>
    <w:multiLevelType w:val="multilevel"/>
    <w:tmpl w:val="0A017AAF"/>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
    <w:nsid w:val="0A4521F4"/>
    <w:multiLevelType w:val="multilevel"/>
    <w:tmpl w:val="0A4521F4"/>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13EA3D95"/>
    <w:multiLevelType w:val="multilevel"/>
    <w:tmpl w:val="13EA3D95"/>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3">
    <w:nsid w:val="25584BC6"/>
    <w:multiLevelType w:val="multilevel"/>
    <w:tmpl w:val="25584BC6"/>
    <w:lvl w:ilvl="0" w:tentative="0">
      <w:start w:val="1"/>
      <w:numFmt w:val="decimal"/>
      <w:lvlText w:val="%1."/>
      <w:lvlJc w:val="left"/>
      <w:pPr>
        <w:tabs>
          <w:tab w:val="left" w:pos="425"/>
        </w:tabs>
        <w:ind w:left="425" w:hanging="425"/>
      </w:pPr>
      <w:rPr>
        <w:b/>
      </w:rPr>
    </w:lvl>
    <w:lvl w:ilvl="1" w:tentative="0">
      <w:start w:val="1"/>
      <w:numFmt w:val="decimal"/>
      <w:lvlText w:val="（%2）"/>
      <w:lvlJc w:val="left"/>
      <w:pPr>
        <w:tabs>
          <w:tab w:val="left" w:pos="720"/>
        </w:tabs>
        <w:ind w:left="720" w:hanging="720"/>
      </w:pPr>
      <w:rPr>
        <w:rFonts w:hint="default" w:ascii="Times New Roman" w:hAnsi="Times New Roman" w:cs="Times New Roman"/>
        <w:b/>
        <w:i w:val="0"/>
        <w:color w:val="auto"/>
        <w:sz w:val="24"/>
        <w:szCs w:val="24"/>
        <w:lang w:val="en-US"/>
      </w:rPr>
    </w:lvl>
    <w:lvl w:ilvl="2" w:tentative="0">
      <w:start w:val="1"/>
      <w:numFmt w:val="lowerLetter"/>
      <w:lvlText w:val="（%3)"/>
      <w:lvlJc w:val="left"/>
      <w:pPr>
        <w:tabs>
          <w:tab w:val="left" w:pos="420"/>
        </w:tabs>
        <w:ind w:left="420" w:hanging="420"/>
      </w:pPr>
      <w:rPr>
        <w:rFonts w:hint="eastAsia"/>
        <w:b w:val="0"/>
      </w:rPr>
    </w:lvl>
    <w:lvl w:ilvl="3" w:tentative="0">
      <w:start w:val="1"/>
      <w:numFmt w:val="decimal"/>
      <w:lvlText w:val="%1.%2.%3.%4."/>
      <w:lvlJc w:val="left"/>
      <w:pPr>
        <w:tabs>
          <w:tab w:val="left" w:pos="851"/>
        </w:tabs>
        <w:ind w:left="851" w:hanging="851"/>
      </w:pPr>
      <w:rPr>
        <w:rFonts w:hint="default" w:ascii="Times New Roman" w:hAnsi="Times New Roman" w:cs="Times New Roman"/>
        <w:b/>
      </w:rPr>
    </w:lvl>
    <w:lvl w:ilvl="4" w:tentative="0">
      <w:start w:val="1"/>
      <w:numFmt w:val="decimal"/>
      <w:lvlText w:val="%1.%2.%3.%4.%5."/>
      <w:lvlJc w:val="left"/>
      <w:pPr>
        <w:tabs>
          <w:tab w:val="left" w:pos="992"/>
        </w:tabs>
        <w:ind w:left="992" w:hanging="992"/>
      </w:pPr>
      <w:rPr>
        <w:b/>
      </w:r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28BD1146"/>
    <w:multiLevelType w:val="multilevel"/>
    <w:tmpl w:val="28BD1146"/>
    <w:lvl w:ilvl="0" w:tentative="0">
      <w:start w:val="1"/>
      <w:numFmt w:val="lowerLetter"/>
      <w:lvlText w:val="(%1)"/>
      <w:lvlJc w:val="left"/>
      <w:pPr>
        <w:ind w:left="420" w:hanging="420"/>
      </w:pPr>
      <w:rPr>
        <w:rFonts w:hint="eastAsia"/>
        <w:color w:val="auto"/>
      </w:rPr>
    </w:lvl>
    <w:lvl w:ilvl="1" w:tentative="0">
      <w:start w:val="1"/>
      <w:numFmt w:val="decimalEnclosedCircle"/>
      <w:lvlText w:val="%2"/>
      <w:lvlJc w:val="left"/>
      <w:pPr>
        <w:ind w:left="780" w:hanging="360"/>
      </w:pPr>
      <w:rPr>
        <w:rFonts w:hint="default"/>
        <w:b/>
        <w:bCs w:val="0"/>
        <w:i/>
        <w:iCs/>
      </w:rPr>
    </w:lvl>
    <w:lvl w:ilvl="2" w:tentative="0">
      <w:start w:val="1"/>
      <w:numFmt w:val="decimalEnclosedCircle"/>
      <w:lvlText w:val="%3"/>
      <w:lvlJc w:val="left"/>
      <w:pPr>
        <w:ind w:left="1200" w:hanging="360"/>
      </w:pPr>
      <w:rPr>
        <w:rFonts w:hint="default"/>
        <w:b/>
        <w:sz w:val="24"/>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96249D6"/>
    <w:multiLevelType w:val="multilevel"/>
    <w:tmpl w:val="296249D6"/>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0"/>
        </w:tabs>
        <w:ind w:left="0" w:hanging="420"/>
      </w:pPr>
    </w:lvl>
    <w:lvl w:ilvl="2" w:tentative="0">
      <w:start w:val="1"/>
      <w:numFmt w:val="lowerRoman"/>
      <w:lvlText w:val="%3."/>
      <w:lvlJc w:val="right"/>
      <w:pPr>
        <w:tabs>
          <w:tab w:val="left" w:pos="420"/>
        </w:tabs>
        <w:ind w:left="420" w:hanging="420"/>
      </w:pPr>
    </w:lvl>
    <w:lvl w:ilvl="3" w:tentative="0">
      <w:start w:val="1"/>
      <w:numFmt w:val="decimal"/>
      <w:lvlText w:val="%4."/>
      <w:lvlJc w:val="left"/>
      <w:pPr>
        <w:tabs>
          <w:tab w:val="left" w:pos="840"/>
        </w:tabs>
        <w:ind w:left="840" w:hanging="420"/>
      </w:pPr>
    </w:lvl>
    <w:lvl w:ilvl="4" w:tentative="0">
      <w:start w:val="1"/>
      <w:numFmt w:val="lowerLetter"/>
      <w:lvlText w:val="%5)"/>
      <w:lvlJc w:val="left"/>
      <w:pPr>
        <w:tabs>
          <w:tab w:val="left" w:pos="1260"/>
        </w:tabs>
        <w:ind w:left="1260" w:hanging="420"/>
      </w:pPr>
    </w:lvl>
    <w:lvl w:ilvl="5" w:tentative="0">
      <w:start w:val="1"/>
      <w:numFmt w:val="lowerRoman"/>
      <w:lvlText w:val="%6."/>
      <w:lvlJc w:val="right"/>
      <w:pPr>
        <w:tabs>
          <w:tab w:val="left" w:pos="1680"/>
        </w:tabs>
        <w:ind w:left="1680" w:hanging="420"/>
      </w:pPr>
    </w:lvl>
    <w:lvl w:ilvl="6" w:tentative="0">
      <w:start w:val="1"/>
      <w:numFmt w:val="decimal"/>
      <w:lvlText w:val="%7."/>
      <w:lvlJc w:val="left"/>
      <w:pPr>
        <w:tabs>
          <w:tab w:val="left" w:pos="2100"/>
        </w:tabs>
        <w:ind w:left="2100" w:hanging="420"/>
      </w:pPr>
    </w:lvl>
    <w:lvl w:ilvl="7" w:tentative="0">
      <w:start w:val="1"/>
      <w:numFmt w:val="lowerLetter"/>
      <w:lvlText w:val="%8)"/>
      <w:lvlJc w:val="left"/>
      <w:pPr>
        <w:tabs>
          <w:tab w:val="left" w:pos="2520"/>
        </w:tabs>
        <w:ind w:left="2520" w:hanging="420"/>
      </w:pPr>
    </w:lvl>
    <w:lvl w:ilvl="8" w:tentative="0">
      <w:start w:val="1"/>
      <w:numFmt w:val="lowerRoman"/>
      <w:lvlText w:val="%9."/>
      <w:lvlJc w:val="right"/>
      <w:pPr>
        <w:tabs>
          <w:tab w:val="left" w:pos="2940"/>
        </w:tabs>
        <w:ind w:left="2940" w:hanging="420"/>
      </w:pPr>
    </w:lvl>
  </w:abstractNum>
  <w:abstractNum w:abstractNumId="6">
    <w:nsid w:val="2B104E83"/>
    <w:multiLevelType w:val="multilevel"/>
    <w:tmpl w:val="2B104E83"/>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7">
    <w:nsid w:val="31B23F28"/>
    <w:multiLevelType w:val="multilevel"/>
    <w:tmpl w:val="31B23F28"/>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8">
    <w:nsid w:val="3D703A65"/>
    <w:multiLevelType w:val="multilevel"/>
    <w:tmpl w:val="3D703A65"/>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9">
    <w:nsid w:val="43D4580C"/>
    <w:multiLevelType w:val="multilevel"/>
    <w:tmpl w:val="43D4580C"/>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0">
    <w:nsid w:val="444C6593"/>
    <w:multiLevelType w:val="multilevel"/>
    <w:tmpl w:val="444C6593"/>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1">
    <w:nsid w:val="4A804D41"/>
    <w:multiLevelType w:val="multilevel"/>
    <w:tmpl w:val="4A804D41"/>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2">
    <w:nsid w:val="4D9A659D"/>
    <w:multiLevelType w:val="multilevel"/>
    <w:tmpl w:val="4D9A659D"/>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3">
    <w:nsid w:val="4DBB4662"/>
    <w:multiLevelType w:val="multilevel"/>
    <w:tmpl w:val="4DBB4662"/>
    <w:lvl w:ilvl="0" w:tentative="0">
      <w:start w:val="1"/>
      <w:numFmt w:val="decimal"/>
      <w:lvlText w:val="%1、"/>
      <w:lvlJc w:val="left"/>
      <w:pPr>
        <w:ind w:left="375" w:hanging="3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7017CB0"/>
    <w:multiLevelType w:val="multilevel"/>
    <w:tmpl w:val="57017CB0"/>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5">
    <w:nsid w:val="61AB3B05"/>
    <w:multiLevelType w:val="multilevel"/>
    <w:tmpl w:val="61AB3B05"/>
    <w:lvl w:ilvl="0" w:tentative="0">
      <w:start w:val="2"/>
      <w:numFmt w:val="japaneseCounting"/>
      <w:lvlText w:val="（%1）"/>
      <w:lvlJc w:val="left"/>
      <w:pPr>
        <w:ind w:left="746" w:hanging="746"/>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6">
    <w:nsid w:val="6B5E4B43"/>
    <w:multiLevelType w:val="multilevel"/>
    <w:tmpl w:val="6B5E4B43"/>
    <w:lvl w:ilvl="0" w:tentative="0">
      <w:start w:val="1"/>
      <w:numFmt w:val="decimal"/>
      <w:lvlText w:val="%1、"/>
      <w:lvlJc w:val="left"/>
      <w:pPr>
        <w:tabs>
          <w:tab w:val="left" w:pos="360"/>
        </w:tabs>
        <w:ind w:left="0" w:firstLine="0"/>
      </w:pPr>
      <w:rPr>
        <w:rFonts w:hint="eastAsia"/>
      </w:rPr>
    </w:lvl>
    <w:lvl w:ilvl="1" w:tentative="0">
      <w:start w:val="1"/>
      <w:numFmt w:val="decimal"/>
      <w:pStyle w:val="32"/>
      <w:lvlText w:val="%1.%2"/>
      <w:lvlJc w:val="left"/>
      <w:pPr>
        <w:tabs>
          <w:tab w:val="left" w:pos="720"/>
        </w:tabs>
        <w:ind w:left="0" w:firstLine="0"/>
      </w:pPr>
      <w:rPr>
        <w:rFonts w:hint="default" w:ascii="Times New Roman" w:hAnsi="Times New Roman"/>
        <w:b/>
        <w:i w:val="0"/>
        <w:caps w:val="0"/>
        <w:color w:val="auto"/>
        <w:u w:val="none"/>
      </w:rPr>
    </w:lvl>
    <w:lvl w:ilvl="2" w:tentative="0">
      <w:start w:val="1"/>
      <w:numFmt w:val="lowerLetter"/>
      <w:pStyle w:val="33"/>
      <w:lvlText w:val="(%3)"/>
      <w:lvlJc w:val="left"/>
      <w:pPr>
        <w:tabs>
          <w:tab w:val="left" w:pos="720"/>
        </w:tabs>
        <w:ind w:left="720" w:hanging="720"/>
      </w:pPr>
      <w:rPr>
        <w:rFonts w:hint="eastAsia" w:ascii="Times New Roman" w:hAnsi="Times New Roman"/>
        <w:b w:val="0"/>
        <w:i w:val="0"/>
        <w:caps w:val="0"/>
        <w:color w:val="auto"/>
        <w:u w:val="none"/>
      </w:rPr>
    </w:lvl>
    <w:lvl w:ilvl="3" w:tentative="0">
      <w:start w:val="1"/>
      <w:numFmt w:val="lowerRoman"/>
      <w:pStyle w:val="34"/>
      <w:lvlText w:val="(%4)"/>
      <w:lvlJc w:val="left"/>
      <w:pPr>
        <w:tabs>
          <w:tab w:val="left" w:pos="1440"/>
        </w:tabs>
        <w:ind w:left="1440" w:hanging="216"/>
      </w:pPr>
      <w:rPr>
        <w:rFonts w:hint="eastAsia" w:ascii="Times New Roman" w:hAnsi="Times New Roman"/>
        <w:b w:val="0"/>
        <w:i w:val="0"/>
        <w:caps w:val="0"/>
        <w:color w:val="auto"/>
        <w:u w:val="none"/>
      </w:rPr>
    </w:lvl>
    <w:lvl w:ilvl="4" w:tentative="0">
      <w:start w:val="1"/>
      <w:numFmt w:val="upperLetter"/>
      <w:pStyle w:val="35"/>
      <w:lvlText w:val="(%5)"/>
      <w:lvlJc w:val="left"/>
      <w:pPr>
        <w:tabs>
          <w:tab w:val="left" w:pos="2160"/>
        </w:tabs>
        <w:ind w:left="2160" w:hanging="720"/>
      </w:pPr>
      <w:rPr>
        <w:rFonts w:hint="eastAsia" w:ascii="Times New Roman" w:hAnsi="Times New Roman"/>
        <w:b w:val="0"/>
        <w:i w:val="0"/>
        <w:caps w:val="0"/>
        <w:color w:val="auto"/>
        <w:u w:val="none"/>
      </w:rPr>
    </w:lvl>
    <w:lvl w:ilvl="5" w:tentative="0">
      <w:start w:val="1"/>
      <w:numFmt w:val="upperRoman"/>
      <w:pStyle w:val="36"/>
      <w:lvlText w:val="(%6)"/>
      <w:lvlJc w:val="right"/>
      <w:pPr>
        <w:tabs>
          <w:tab w:val="left" w:pos="2880"/>
        </w:tabs>
        <w:ind w:left="2880" w:hanging="216"/>
      </w:pPr>
      <w:rPr>
        <w:rFonts w:hint="eastAsia" w:ascii="Times New Roman" w:hAnsi="Times New Roman"/>
        <w:b w:val="0"/>
        <w:i w:val="0"/>
        <w:caps w:val="0"/>
        <w:color w:val="auto"/>
        <w:u w:val="none"/>
      </w:rPr>
    </w:lvl>
    <w:lvl w:ilvl="6" w:tentative="0">
      <w:start w:val="27"/>
      <w:numFmt w:val="lowerLetter"/>
      <w:pStyle w:val="37"/>
      <w:lvlText w:val="(%7)"/>
      <w:lvlJc w:val="left"/>
      <w:pPr>
        <w:tabs>
          <w:tab w:val="left" w:pos="3600"/>
        </w:tabs>
        <w:ind w:left="3600" w:hanging="720"/>
      </w:pPr>
      <w:rPr>
        <w:rFonts w:hint="eastAsia" w:ascii="Times New Roman" w:hAnsi="Times New Roman"/>
        <w:b w:val="0"/>
        <w:i w:val="0"/>
        <w:caps w:val="0"/>
        <w:color w:val="auto"/>
        <w:u w:val="none"/>
      </w:rPr>
    </w:lvl>
    <w:lvl w:ilvl="7" w:tentative="0">
      <w:start w:val="1"/>
      <w:numFmt w:val="decimal"/>
      <w:pStyle w:val="38"/>
      <w:lvlText w:val="(%8)"/>
      <w:lvlJc w:val="left"/>
      <w:pPr>
        <w:tabs>
          <w:tab w:val="left" w:pos="4320"/>
        </w:tabs>
        <w:ind w:left="4320" w:hanging="720"/>
      </w:pPr>
      <w:rPr>
        <w:rFonts w:hint="eastAsia" w:ascii="Times New Roman" w:hAnsi="Times New Roman"/>
        <w:b w:val="0"/>
        <w:i w:val="0"/>
        <w:caps w:val="0"/>
        <w:color w:val="auto"/>
        <w:u w:val="none"/>
      </w:rPr>
    </w:lvl>
    <w:lvl w:ilvl="8" w:tentative="0">
      <w:start w:val="1"/>
      <w:numFmt w:val="lowerRoman"/>
      <w:lvlText w:val="%9)"/>
      <w:lvlJc w:val="left"/>
      <w:pPr>
        <w:tabs>
          <w:tab w:val="left" w:pos="5760"/>
        </w:tabs>
        <w:ind w:left="5760" w:hanging="720"/>
      </w:pPr>
      <w:rPr>
        <w:rFonts w:hint="eastAsia" w:ascii="Times New Roman" w:hAnsi="Times New Roman"/>
        <w:b w:val="0"/>
        <w:i w:val="0"/>
        <w:caps w:val="0"/>
        <w:color w:val="auto"/>
        <w:u w:val="none"/>
      </w:rPr>
    </w:lvl>
  </w:abstractNum>
  <w:abstractNum w:abstractNumId="17">
    <w:nsid w:val="712F7180"/>
    <w:multiLevelType w:val="multilevel"/>
    <w:tmpl w:val="712F7180"/>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8">
    <w:nsid w:val="76461C3F"/>
    <w:multiLevelType w:val="multilevel"/>
    <w:tmpl w:val="76461C3F"/>
    <w:lvl w:ilvl="0" w:tentative="0">
      <w:start w:val="1"/>
      <w:numFmt w:val="lowerLetter"/>
      <w:lvlText w:val="(%1)"/>
      <w:lvlJc w:val="left"/>
      <w:pPr>
        <w:ind w:left="420" w:hanging="420"/>
      </w:pPr>
      <w:rPr>
        <w:rFonts w:hint="eastAsia"/>
        <w:color w:val="auto"/>
      </w:rPr>
    </w:lvl>
    <w:lvl w:ilvl="1" w:tentative="0">
      <w:start w:val="1"/>
      <w:numFmt w:val="decimalEnclosedCircle"/>
      <w:lvlText w:val="%2"/>
      <w:lvlJc w:val="left"/>
      <w:pPr>
        <w:ind w:left="780" w:hanging="360"/>
      </w:pPr>
      <w:rPr>
        <w:rFonts w:hint="default"/>
        <w:b/>
        <w:bCs w:val="0"/>
        <w:i/>
        <w:iCs/>
      </w:rPr>
    </w:lvl>
    <w:lvl w:ilvl="2" w:tentative="0">
      <w:start w:val="1"/>
      <w:numFmt w:val="decimalEnclosedCircle"/>
      <w:lvlText w:val="%3"/>
      <w:lvlJc w:val="left"/>
      <w:pPr>
        <w:ind w:left="1200" w:hanging="360"/>
      </w:pPr>
      <w:rPr>
        <w:rFonts w:hint="default"/>
        <w:b/>
        <w:sz w:val="24"/>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A4C0C6A"/>
    <w:multiLevelType w:val="multilevel"/>
    <w:tmpl w:val="7A4C0C6A"/>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0">
    <w:nsid w:val="7C5B0AD5"/>
    <w:multiLevelType w:val="multilevel"/>
    <w:tmpl w:val="7C5B0AD5"/>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1">
    <w:nsid w:val="7D834C03"/>
    <w:multiLevelType w:val="multilevel"/>
    <w:tmpl w:val="7D834C03"/>
    <w:lvl w:ilvl="0" w:tentative="0">
      <w:start w:val="1"/>
      <w:numFmt w:val="lowerLetter"/>
      <w:lvlText w:val="(%1)"/>
      <w:lvlJc w:val="left"/>
      <w:pPr>
        <w:ind w:left="1140" w:hanging="420"/>
      </w:pPr>
      <w:rPr>
        <w:rFonts w:hint="default" w:ascii="Times New Roman" w:hAnsi="Times New Roman"/>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16"/>
  </w:num>
  <w:num w:numId="2">
    <w:abstractNumId w:val="5"/>
  </w:num>
  <w:num w:numId="3">
    <w:abstractNumId w:val="3"/>
  </w:num>
  <w:num w:numId="4">
    <w:abstractNumId w:val="15"/>
  </w:num>
  <w:num w:numId="5">
    <w:abstractNumId w:val="4"/>
  </w:num>
  <w:num w:numId="6">
    <w:abstractNumId w:val="18"/>
  </w:num>
  <w:num w:numId="7">
    <w:abstractNumId w:val="10"/>
  </w:num>
  <w:num w:numId="8">
    <w:abstractNumId w:val="6"/>
  </w:num>
  <w:num w:numId="9">
    <w:abstractNumId w:val="7"/>
  </w:num>
  <w:num w:numId="10">
    <w:abstractNumId w:val="14"/>
  </w:num>
  <w:num w:numId="11">
    <w:abstractNumId w:val="20"/>
  </w:num>
  <w:num w:numId="12">
    <w:abstractNumId w:val="21"/>
  </w:num>
  <w:num w:numId="13">
    <w:abstractNumId w:val="13"/>
  </w:num>
  <w:num w:numId="14">
    <w:abstractNumId w:val="0"/>
  </w:num>
  <w:num w:numId="15">
    <w:abstractNumId w:val="2"/>
  </w:num>
  <w:num w:numId="16">
    <w:abstractNumId w:val="1"/>
  </w:num>
  <w:num w:numId="17">
    <w:abstractNumId w:val="17"/>
  </w:num>
  <w:num w:numId="18">
    <w:abstractNumId w:val="8"/>
  </w:num>
  <w:num w:numId="19">
    <w:abstractNumId w:val="9"/>
  </w:num>
  <w:num w:numId="20">
    <w:abstractNumId w:val="11"/>
  </w:num>
  <w:num w:numId="21">
    <w:abstractNumId w:val="19"/>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481"/>
    <w:rsid w:val="000009FF"/>
    <w:rsid w:val="00000C1B"/>
    <w:rsid w:val="00000DD8"/>
    <w:rsid w:val="00000F54"/>
    <w:rsid w:val="0000136D"/>
    <w:rsid w:val="000015C2"/>
    <w:rsid w:val="0000267A"/>
    <w:rsid w:val="0000268D"/>
    <w:rsid w:val="000028F5"/>
    <w:rsid w:val="000037BF"/>
    <w:rsid w:val="000037EA"/>
    <w:rsid w:val="00004530"/>
    <w:rsid w:val="00004852"/>
    <w:rsid w:val="00004A7B"/>
    <w:rsid w:val="00004D87"/>
    <w:rsid w:val="00004F64"/>
    <w:rsid w:val="00005349"/>
    <w:rsid w:val="00005554"/>
    <w:rsid w:val="00005D87"/>
    <w:rsid w:val="00006092"/>
    <w:rsid w:val="00006687"/>
    <w:rsid w:val="00006778"/>
    <w:rsid w:val="000069D9"/>
    <w:rsid w:val="00006A7C"/>
    <w:rsid w:val="00006D2D"/>
    <w:rsid w:val="000118C0"/>
    <w:rsid w:val="000118C2"/>
    <w:rsid w:val="00011DFF"/>
    <w:rsid w:val="000126B1"/>
    <w:rsid w:val="00012784"/>
    <w:rsid w:val="00012C0E"/>
    <w:rsid w:val="00012D9C"/>
    <w:rsid w:val="0001304B"/>
    <w:rsid w:val="000130BA"/>
    <w:rsid w:val="0001386A"/>
    <w:rsid w:val="00013BFA"/>
    <w:rsid w:val="00013D81"/>
    <w:rsid w:val="00013DA5"/>
    <w:rsid w:val="00014059"/>
    <w:rsid w:val="00014258"/>
    <w:rsid w:val="00014448"/>
    <w:rsid w:val="00014C42"/>
    <w:rsid w:val="0001514C"/>
    <w:rsid w:val="000152A0"/>
    <w:rsid w:val="00015A7F"/>
    <w:rsid w:val="00015D9C"/>
    <w:rsid w:val="00015F49"/>
    <w:rsid w:val="00016484"/>
    <w:rsid w:val="000165FE"/>
    <w:rsid w:val="0001694B"/>
    <w:rsid w:val="00016D27"/>
    <w:rsid w:val="000170BC"/>
    <w:rsid w:val="0001711B"/>
    <w:rsid w:val="000171CD"/>
    <w:rsid w:val="00017828"/>
    <w:rsid w:val="00020352"/>
    <w:rsid w:val="00020465"/>
    <w:rsid w:val="000206A4"/>
    <w:rsid w:val="00020A36"/>
    <w:rsid w:val="00020C1C"/>
    <w:rsid w:val="00020FA6"/>
    <w:rsid w:val="00021028"/>
    <w:rsid w:val="0002176B"/>
    <w:rsid w:val="0002225D"/>
    <w:rsid w:val="0002247B"/>
    <w:rsid w:val="0002263D"/>
    <w:rsid w:val="00022874"/>
    <w:rsid w:val="00022B85"/>
    <w:rsid w:val="00022DBE"/>
    <w:rsid w:val="00023217"/>
    <w:rsid w:val="00023C6B"/>
    <w:rsid w:val="00023D00"/>
    <w:rsid w:val="00024518"/>
    <w:rsid w:val="00024926"/>
    <w:rsid w:val="00024996"/>
    <w:rsid w:val="00024E00"/>
    <w:rsid w:val="00024F1A"/>
    <w:rsid w:val="00024F5E"/>
    <w:rsid w:val="000252AA"/>
    <w:rsid w:val="000252F7"/>
    <w:rsid w:val="0002606A"/>
    <w:rsid w:val="00026462"/>
    <w:rsid w:val="00026485"/>
    <w:rsid w:val="00027495"/>
    <w:rsid w:val="000278A7"/>
    <w:rsid w:val="00030069"/>
    <w:rsid w:val="000300BE"/>
    <w:rsid w:val="000316FB"/>
    <w:rsid w:val="00031E2C"/>
    <w:rsid w:val="00032503"/>
    <w:rsid w:val="0003261A"/>
    <w:rsid w:val="00032774"/>
    <w:rsid w:val="00032A96"/>
    <w:rsid w:val="00032AEF"/>
    <w:rsid w:val="00033033"/>
    <w:rsid w:val="000335D3"/>
    <w:rsid w:val="00033C53"/>
    <w:rsid w:val="00033CDC"/>
    <w:rsid w:val="00033EEC"/>
    <w:rsid w:val="00033F42"/>
    <w:rsid w:val="00034083"/>
    <w:rsid w:val="00034646"/>
    <w:rsid w:val="00034692"/>
    <w:rsid w:val="00034710"/>
    <w:rsid w:val="00034A53"/>
    <w:rsid w:val="00034BFA"/>
    <w:rsid w:val="00035644"/>
    <w:rsid w:val="00035AD4"/>
    <w:rsid w:val="00035C3C"/>
    <w:rsid w:val="00036E48"/>
    <w:rsid w:val="0003745A"/>
    <w:rsid w:val="000374B9"/>
    <w:rsid w:val="000401CD"/>
    <w:rsid w:val="00040595"/>
    <w:rsid w:val="00040F41"/>
    <w:rsid w:val="000411BB"/>
    <w:rsid w:val="000416E5"/>
    <w:rsid w:val="0004188A"/>
    <w:rsid w:val="00041B16"/>
    <w:rsid w:val="00041EA1"/>
    <w:rsid w:val="000428EF"/>
    <w:rsid w:val="00042CDF"/>
    <w:rsid w:val="00042D74"/>
    <w:rsid w:val="0004364C"/>
    <w:rsid w:val="00043E30"/>
    <w:rsid w:val="00043EA9"/>
    <w:rsid w:val="00043F86"/>
    <w:rsid w:val="000440BF"/>
    <w:rsid w:val="0004481A"/>
    <w:rsid w:val="000456DF"/>
    <w:rsid w:val="00045BB7"/>
    <w:rsid w:val="00045C59"/>
    <w:rsid w:val="00045F8A"/>
    <w:rsid w:val="00046C0B"/>
    <w:rsid w:val="00046F3C"/>
    <w:rsid w:val="0004741B"/>
    <w:rsid w:val="000509A0"/>
    <w:rsid w:val="000509B1"/>
    <w:rsid w:val="00050D9C"/>
    <w:rsid w:val="000512F9"/>
    <w:rsid w:val="00051412"/>
    <w:rsid w:val="0005179E"/>
    <w:rsid w:val="00051D06"/>
    <w:rsid w:val="00051E6B"/>
    <w:rsid w:val="00052773"/>
    <w:rsid w:val="00052A5F"/>
    <w:rsid w:val="00052B1B"/>
    <w:rsid w:val="0005359F"/>
    <w:rsid w:val="000535A2"/>
    <w:rsid w:val="00053A20"/>
    <w:rsid w:val="00053C54"/>
    <w:rsid w:val="00053E60"/>
    <w:rsid w:val="000541DF"/>
    <w:rsid w:val="000548A7"/>
    <w:rsid w:val="000548D5"/>
    <w:rsid w:val="00054A90"/>
    <w:rsid w:val="00054E0F"/>
    <w:rsid w:val="00055432"/>
    <w:rsid w:val="000554E6"/>
    <w:rsid w:val="00055B98"/>
    <w:rsid w:val="00055C45"/>
    <w:rsid w:val="00055D91"/>
    <w:rsid w:val="00055E02"/>
    <w:rsid w:val="00055FE0"/>
    <w:rsid w:val="0005626E"/>
    <w:rsid w:val="0005648E"/>
    <w:rsid w:val="0005667F"/>
    <w:rsid w:val="000566B4"/>
    <w:rsid w:val="000572B5"/>
    <w:rsid w:val="00057E7B"/>
    <w:rsid w:val="00060437"/>
    <w:rsid w:val="00060742"/>
    <w:rsid w:val="00060E0C"/>
    <w:rsid w:val="000610E7"/>
    <w:rsid w:val="00061BDC"/>
    <w:rsid w:val="00061D1B"/>
    <w:rsid w:val="000623A4"/>
    <w:rsid w:val="0006241F"/>
    <w:rsid w:val="00062861"/>
    <w:rsid w:val="00062E67"/>
    <w:rsid w:val="0006347C"/>
    <w:rsid w:val="00063E18"/>
    <w:rsid w:val="00064AF6"/>
    <w:rsid w:val="00064E2D"/>
    <w:rsid w:val="00065C64"/>
    <w:rsid w:val="00065EA1"/>
    <w:rsid w:val="00066DCD"/>
    <w:rsid w:val="00066EB1"/>
    <w:rsid w:val="00066EC0"/>
    <w:rsid w:val="00066F6F"/>
    <w:rsid w:val="00067089"/>
    <w:rsid w:val="000672DE"/>
    <w:rsid w:val="00067710"/>
    <w:rsid w:val="00067C47"/>
    <w:rsid w:val="0007079A"/>
    <w:rsid w:val="00070817"/>
    <w:rsid w:val="000709EF"/>
    <w:rsid w:val="000714C2"/>
    <w:rsid w:val="00071A4E"/>
    <w:rsid w:val="00072800"/>
    <w:rsid w:val="0007283C"/>
    <w:rsid w:val="00072909"/>
    <w:rsid w:val="00072DB0"/>
    <w:rsid w:val="00072EBB"/>
    <w:rsid w:val="00072F1D"/>
    <w:rsid w:val="000732C5"/>
    <w:rsid w:val="000733B6"/>
    <w:rsid w:val="000737C6"/>
    <w:rsid w:val="00073E63"/>
    <w:rsid w:val="0007406C"/>
    <w:rsid w:val="00074255"/>
    <w:rsid w:val="00074669"/>
    <w:rsid w:val="00074839"/>
    <w:rsid w:val="00074F9D"/>
    <w:rsid w:val="0007539E"/>
    <w:rsid w:val="000754BB"/>
    <w:rsid w:val="00075C2C"/>
    <w:rsid w:val="000776DC"/>
    <w:rsid w:val="00077C07"/>
    <w:rsid w:val="00077DC9"/>
    <w:rsid w:val="000801C6"/>
    <w:rsid w:val="0008073D"/>
    <w:rsid w:val="0008079B"/>
    <w:rsid w:val="00080E7C"/>
    <w:rsid w:val="0008122B"/>
    <w:rsid w:val="000816C0"/>
    <w:rsid w:val="00081A06"/>
    <w:rsid w:val="00081C16"/>
    <w:rsid w:val="00081EC1"/>
    <w:rsid w:val="000824E8"/>
    <w:rsid w:val="00082818"/>
    <w:rsid w:val="00082DC7"/>
    <w:rsid w:val="00083030"/>
    <w:rsid w:val="00083217"/>
    <w:rsid w:val="0008333E"/>
    <w:rsid w:val="0008346D"/>
    <w:rsid w:val="000836A7"/>
    <w:rsid w:val="000837F7"/>
    <w:rsid w:val="00084355"/>
    <w:rsid w:val="0008540B"/>
    <w:rsid w:val="0008574D"/>
    <w:rsid w:val="00085856"/>
    <w:rsid w:val="00086AAB"/>
    <w:rsid w:val="0009009F"/>
    <w:rsid w:val="000908B0"/>
    <w:rsid w:val="00090B3E"/>
    <w:rsid w:val="00090CA2"/>
    <w:rsid w:val="00091203"/>
    <w:rsid w:val="00091AB9"/>
    <w:rsid w:val="00091C33"/>
    <w:rsid w:val="00092606"/>
    <w:rsid w:val="00092775"/>
    <w:rsid w:val="00092A97"/>
    <w:rsid w:val="00092CB6"/>
    <w:rsid w:val="00092EC0"/>
    <w:rsid w:val="000932A0"/>
    <w:rsid w:val="000933AA"/>
    <w:rsid w:val="00094138"/>
    <w:rsid w:val="00094202"/>
    <w:rsid w:val="000945AB"/>
    <w:rsid w:val="00094A0A"/>
    <w:rsid w:val="00094D35"/>
    <w:rsid w:val="0009556D"/>
    <w:rsid w:val="00095A85"/>
    <w:rsid w:val="00095DAD"/>
    <w:rsid w:val="000961F2"/>
    <w:rsid w:val="00096900"/>
    <w:rsid w:val="000A00CA"/>
    <w:rsid w:val="000A0844"/>
    <w:rsid w:val="000A0920"/>
    <w:rsid w:val="000A1135"/>
    <w:rsid w:val="000A1501"/>
    <w:rsid w:val="000A1898"/>
    <w:rsid w:val="000A21C4"/>
    <w:rsid w:val="000A2860"/>
    <w:rsid w:val="000A3036"/>
    <w:rsid w:val="000A33D0"/>
    <w:rsid w:val="000A3409"/>
    <w:rsid w:val="000A3606"/>
    <w:rsid w:val="000A36BF"/>
    <w:rsid w:val="000A45C5"/>
    <w:rsid w:val="000A5119"/>
    <w:rsid w:val="000A6010"/>
    <w:rsid w:val="000A61F8"/>
    <w:rsid w:val="000A66B3"/>
    <w:rsid w:val="000A6B42"/>
    <w:rsid w:val="000A6F7A"/>
    <w:rsid w:val="000A72BF"/>
    <w:rsid w:val="000A7354"/>
    <w:rsid w:val="000A7676"/>
    <w:rsid w:val="000B0516"/>
    <w:rsid w:val="000B06D0"/>
    <w:rsid w:val="000B0748"/>
    <w:rsid w:val="000B0BB6"/>
    <w:rsid w:val="000B0D00"/>
    <w:rsid w:val="000B12F8"/>
    <w:rsid w:val="000B16AE"/>
    <w:rsid w:val="000B20BA"/>
    <w:rsid w:val="000B237F"/>
    <w:rsid w:val="000B31B1"/>
    <w:rsid w:val="000B4587"/>
    <w:rsid w:val="000B4651"/>
    <w:rsid w:val="000B4746"/>
    <w:rsid w:val="000B54E9"/>
    <w:rsid w:val="000B583D"/>
    <w:rsid w:val="000B5FB9"/>
    <w:rsid w:val="000B60AD"/>
    <w:rsid w:val="000B6F59"/>
    <w:rsid w:val="000B7092"/>
    <w:rsid w:val="000B72AB"/>
    <w:rsid w:val="000B7536"/>
    <w:rsid w:val="000B7E76"/>
    <w:rsid w:val="000B7EA1"/>
    <w:rsid w:val="000C0231"/>
    <w:rsid w:val="000C059B"/>
    <w:rsid w:val="000C093A"/>
    <w:rsid w:val="000C0BEA"/>
    <w:rsid w:val="000C1468"/>
    <w:rsid w:val="000C192C"/>
    <w:rsid w:val="000C1AA9"/>
    <w:rsid w:val="000C1E2C"/>
    <w:rsid w:val="000C1FF0"/>
    <w:rsid w:val="000C20BC"/>
    <w:rsid w:val="000C221A"/>
    <w:rsid w:val="000C29EF"/>
    <w:rsid w:val="000C2AE2"/>
    <w:rsid w:val="000C3117"/>
    <w:rsid w:val="000C3570"/>
    <w:rsid w:val="000C37ED"/>
    <w:rsid w:val="000C3B2C"/>
    <w:rsid w:val="000C461C"/>
    <w:rsid w:val="000C4BA8"/>
    <w:rsid w:val="000C51B8"/>
    <w:rsid w:val="000C5244"/>
    <w:rsid w:val="000C5261"/>
    <w:rsid w:val="000C53CE"/>
    <w:rsid w:val="000C5561"/>
    <w:rsid w:val="000C56B3"/>
    <w:rsid w:val="000C5887"/>
    <w:rsid w:val="000C5943"/>
    <w:rsid w:val="000C5AD9"/>
    <w:rsid w:val="000C5ECF"/>
    <w:rsid w:val="000C6253"/>
    <w:rsid w:val="000C62B8"/>
    <w:rsid w:val="000C657D"/>
    <w:rsid w:val="000C6A85"/>
    <w:rsid w:val="000C6B00"/>
    <w:rsid w:val="000C7400"/>
    <w:rsid w:val="000C764E"/>
    <w:rsid w:val="000C7654"/>
    <w:rsid w:val="000C7F28"/>
    <w:rsid w:val="000D0308"/>
    <w:rsid w:val="000D04F9"/>
    <w:rsid w:val="000D0505"/>
    <w:rsid w:val="000D0C82"/>
    <w:rsid w:val="000D12EF"/>
    <w:rsid w:val="000D152B"/>
    <w:rsid w:val="000D1965"/>
    <w:rsid w:val="000D196C"/>
    <w:rsid w:val="000D1C8F"/>
    <w:rsid w:val="000D2108"/>
    <w:rsid w:val="000D2622"/>
    <w:rsid w:val="000D26E5"/>
    <w:rsid w:val="000D370C"/>
    <w:rsid w:val="000D384A"/>
    <w:rsid w:val="000D3C2A"/>
    <w:rsid w:val="000D423D"/>
    <w:rsid w:val="000D4C04"/>
    <w:rsid w:val="000D4CE4"/>
    <w:rsid w:val="000D5051"/>
    <w:rsid w:val="000D5072"/>
    <w:rsid w:val="000D513E"/>
    <w:rsid w:val="000D5254"/>
    <w:rsid w:val="000D56EE"/>
    <w:rsid w:val="000D6392"/>
    <w:rsid w:val="000D6396"/>
    <w:rsid w:val="000D6614"/>
    <w:rsid w:val="000D6652"/>
    <w:rsid w:val="000D698A"/>
    <w:rsid w:val="000D6A36"/>
    <w:rsid w:val="000D6B79"/>
    <w:rsid w:val="000D6EED"/>
    <w:rsid w:val="000D7727"/>
    <w:rsid w:val="000D7B02"/>
    <w:rsid w:val="000D7DD8"/>
    <w:rsid w:val="000D7EED"/>
    <w:rsid w:val="000D7EFA"/>
    <w:rsid w:val="000D7FC9"/>
    <w:rsid w:val="000E05BB"/>
    <w:rsid w:val="000E069C"/>
    <w:rsid w:val="000E0E9C"/>
    <w:rsid w:val="000E0F6A"/>
    <w:rsid w:val="000E100C"/>
    <w:rsid w:val="000E14F8"/>
    <w:rsid w:val="000E1690"/>
    <w:rsid w:val="000E2207"/>
    <w:rsid w:val="000E22E5"/>
    <w:rsid w:val="000E253A"/>
    <w:rsid w:val="000E2917"/>
    <w:rsid w:val="000E2B08"/>
    <w:rsid w:val="000E37B2"/>
    <w:rsid w:val="000E38BD"/>
    <w:rsid w:val="000E420D"/>
    <w:rsid w:val="000E4AC9"/>
    <w:rsid w:val="000E4C4E"/>
    <w:rsid w:val="000E5C2B"/>
    <w:rsid w:val="000E60A3"/>
    <w:rsid w:val="000E68D5"/>
    <w:rsid w:val="000E6A81"/>
    <w:rsid w:val="000E6D08"/>
    <w:rsid w:val="000E7C93"/>
    <w:rsid w:val="000E7E34"/>
    <w:rsid w:val="000E7EBF"/>
    <w:rsid w:val="000E7F5F"/>
    <w:rsid w:val="000E7FF5"/>
    <w:rsid w:val="000F0151"/>
    <w:rsid w:val="000F0274"/>
    <w:rsid w:val="000F0388"/>
    <w:rsid w:val="000F058C"/>
    <w:rsid w:val="000F0E3D"/>
    <w:rsid w:val="000F0F5F"/>
    <w:rsid w:val="000F1DA3"/>
    <w:rsid w:val="000F24BA"/>
    <w:rsid w:val="000F2C4B"/>
    <w:rsid w:val="000F304F"/>
    <w:rsid w:val="000F34B2"/>
    <w:rsid w:val="000F35F1"/>
    <w:rsid w:val="000F3E9A"/>
    <w:rsid w:val="000F42C5"/>
    <w:rsid w:val="000F4368"/>
    <w:rsid w:val="000F43CD"/>
    <w:rsid w:val="000F456D"/>
    <w:rsid w:val="000F478B"/>
    <w:rsid w:val="000F495A"/>
    <w:rsid w:val="000F49F3"/>
    <w:rsid w:val="000F4B86"/>
    <w:rsid w:val="000F4D6B"/>
    <w:rsid w:val="000F543B"/>
    <w:rsid w:val="000F56A1"/>
    <w:rsid w:val="000F5769"/>
    <w:rsid w:val="000F5D47"/>
    <w:rsid w:val="000F600F"/>
    <w:rsid w:val="000F611A"/>
    <w:rsid w:val="000F62E1"/>
    <w:rsid w:val="000F66A2"/>
    <w:rsid w:val="000F6B36"/>
    <w:rsid w:val="000F6B4B"/>
    <w:rsid w:val="000F7410"/>
    <w:rsid w:val="000F75DF"/>
    <w:rsid w:val="000F7687"/>
    <w:rsid w:val="000F76B5"/>
    <w:rsid w:val="000F774D"/>
    <w:rsid w:val="000F7A35"/>
    <w:rsid w:val="00100960"/>
    <w:rsid w:val="0010121F"/>
    <w:rsid w:val="0010157C"/>
    <w:rsid w:val="001015B5"/>
    <w:rsid w:val="0010160F"/>
    <w:rsid w:val="00101712"/>
    <w:rsid w:val="001018A1"/>
    <w:rsid w:val="00101C02"/>
    <w:rsid w:val="00102129"/>
    <w:rsid w:val="001023B1"/>
    <w:rsid w:val="00102897"/>
    <w:rsid w:val="0010326C"/>
    <w:rsid w:val="0010361C"/>
    <w:rsid w:val="00103D92"/>
    <w:rsid w:val="001042CF"/>
    <w:rsid w:val="00104B50"/>
    <w:rsid w:val="00105EE0"/>
    <w:rsid w:val="00105F2C"/>
    <w:rsid w:val="00105FE1"/>
    <w:rsid w:val="00106268"/>
    <w:rsid w:val="00106646"/>
    <w:rsid w:val="001069D1"/>
    <w:rsid w:val="00106A50"/>
    <w:rsid w:val="00106C5B"/>
    <w:rsid w:val="00107263"/>
    <w:rsid w:val="00107265"/>
    <w:rsid w:val="00107345"/>
    <w:rsid w:val="001073D4"/>
    <w:rsid w:val="00107637"/>
    <w:rsid w:val="00107A36"/>
    <w:rsid w:val="00107BDB"/>
    <w:rsid w:val="00107F69"/>
    <w:rsid w:val="0011056C"/>
    <w:rsid w:val="00110DC3"/>
    <w:rsid w:val="001110B1"/>
    <w:rsid w:val="0011146F"/>
    <w:rsid w:val="00111568"/>
    <w:rsid w:val="001118C1"/>
    <w:rsid w:val="001119A7"/>
    <w:rsid w:val="00111C68"/>
    <w:rsid w:val="00111EDF"/>
    <w:rsid w:val="00111F9E"/>
    <w:rsid w:val="00112221"/>
    <w:rsid w:val="00112755"/>
    <w:rsid w:val="00112AF1"/>
    <w:rsid w:val="00112F7C"/>
    <w:rsid w:val="001131BB"/>
    <w:rsid w:val="00113517"/>
    <w:rsid w:val="00114248"/>
    <w:rsid w:val="0011493E"/>
    <w:rsid w:val="00114CBA"/>
    <w:rsid w:val="0011528F"/>
    <w:rsid w:val="00115321"/>
    <w:rsid w:val="001153D3"/>
    <w:rsid w:val="001158E4"/>
    <w:rsid w:val="00115AB6"/>
    <w:rsid w:val="00115BF7"/>
    <w:rsid w:val="00115E6B"/>
    <w:rsid w:val="00115F2B"/>
    <w:rsid w:val="001167DE"/>
    <w:rsid w:val="00116969"/>
    <w:rsid w:val="001169FD"/>
    <w:rsid w:val="00116EA2"/>
    <w:rsid w:val="0011755A"/>
    <w:rsid w:val="001177D9"/>
    <w:rsid w:val="00117855"/>
    <w:rsid w:val="00117A55"/>
    <w:rsid w:val="00117C5D"/>
    <w:rsid w:val="00120250"/>
    <w:rsid w:val="00120397"/>
    <w:rsid w:val="00120867"/>
    <w:rsid w:val="00120ACA"/>
    <w:rsid w:val="0012104B"/>
    <w:rsid w:val="00121789"/>
    <w:rsid w:val="00121810"/>
    <w:rsid w:val="00121A17"/>
    <w:rsid w:val="0012207B"/>
    <w:rsid w:val="001220B1"/>
    <w:rsid w:val="001229FA"/>
    <w:rsid w:val="00122C2D"/>
    <w:rsid w:val="001231D2"/>
    <w:rsid w:val="001232A9"/>
    <w:rsid w:val="001235FB"/>
    <w:rsid w:val="00123604"/>
    <w:rsid w:val="00123A82"/>
    <w:rsid w:val="00123BBC"/>
    <w:rsid w:val="00123E3E"/>
    <w:rsid w:val="0012401D"/>
    <w:rsid w:val="00124951"/>
    <w:rsid w:val="00124AB4"/>
    <w:rsid w:val="00124E9D"/>
    <w:rsid w:val="001256DC"/>
    <w:rsid w:val="00125A6D"/>
    <w:rsid w:val="00126537"/>
    <w:rsid w:val="0012674C"/>
    <w:rsid w:val="00126C4B"/>
    <w:rsid w:val="00126FC2"/>
    <w:rsid w:val="0012787F"/>
    <w:rsid w:val="00127EAE"/>
    <w:rsid w:val="00127F65"/>
    <w:rsid w:val="00130358"/>
    <w:rsid w:val="001305A0"/>
    <w:rsid w:val="00130752"/>
    <w:rsid w:val="00130F7A"/>
    <w:rsid w:val="0013101F"/>
    <w:rsid w:val="00131116"/>
    <w:rsid w:val="001312E0"/>
    <w:rsid w:val="001313EB"/>
    <w:rsid w:val="00131CE7"/>
    <w:rsid w:val="001321FC"/>
    <w:rsid w:val="001323DB"/>
    <w:rsid w:val="0013266C"/>
    <w:rsid w:val="001330B7"/>
    <w:rsid w:val="00133962"/>
    <w:rsid w:val="00133D67"/>
    <w:rsid w:val="00133FC6"/>
    <w:rsid w:val="00133FCC"/>
    <w:rsid w:val="0013423A"/>
    <w:rsid w:val="001345C9"/>
    <w:rsid w:val="00134E9F"/>
    <w:rsid w:val="0013566E"/>
    <w:rsid w:val="00135A10"/>
    <w:rsid w:val="00135AA3"/>
    <w:rsid w:val="0013680C"/>
    <w:rsid w:val="0013687A"/>
    <w:rsid w:val="00136B50"/>
    <w:rsid w:val="0013718B"/>
    <w:rsid w:val="00137345"/>
    <w:rsid w:val="00137789"/>
    <w:rsid w:val="00137BC5"/>
    <w:rsid w:val="00137FA5"/>
    <w:rsid w:val="00140A84"/>
    <w:rsid w:val="00140CB9"/>
    <w:rsid w:val="001411A0"/>
    <w:rsid w:val="00141520"/>
    <w:rsid w:val="001419F1"/>
    <w:rsid w:val="00141B4F"/>
    <w:rsid w:val="00141CB6"/>
    <w:rsid w:val="001421DE"/>
    <w:rsid w:val="001425A2"/>
    <w:rsid w:val="0014274E"/>
    <w:rsid w:val="00142BA2"/>
    <w:rsid w:val="00142DDF"/>
    <w:rsid w:val="00143137"/>
    <w:rsid w:val="00143CB2"/>
    <w:rsid w:val="001443D4"/>
    <w:rsid w:val="00144F88"/>
    <w:rsid w:val="0014526D"/>
    <w:rsid w:val="00145301"/>
    <w:rsid w:val="00145516"/>
    <w:rsid w:val="00145735"/>
    <w:rsid w:val="001457CA"/>
    <w:rsid w:val="00146115"/>
    <w:rsid w:val="0014628E"/>
    <w:rsid w:val="00146969"/>
    <w:rsid w:val="00146EC3"/>
    <w:rsid w:val="0014741F"/>
    <w:rsid w:val="00147F32"/>
    <w:rsid w:val="00147FEF"/>
    <w:rsid w:val="00150342"/>
    <w:rsid w:val="0015060D"/>
    <w:rsid w:val="00150691"/>
    <w:rsid w:val="00150B30"/>
    <w:rsid w:val="00151229"/>
    <w:rsid w:val="0015131A"/>
    <w:rsid w:val="0015194E"/>
    <w:rsid w:val="00151D6E"/>
    <w:rsid w:val="00151E1E"/>
    <w:rsid w:val="00151E46"/>
    <w:rsid w:val="001526B2"/>
    <w:rsid w:val="00152AB7"/>
    <w:rsid w:val="00152B0C"/>
    <w:rsid w:val="00152F8B"/>
    <w:rsid w:val="0015303C"/>
    <w:rsid w:val="0015314B"/>
    <w:rsid w:val="001536E4"/>
    <w:rsid w:val="00153EAF"/>
    <w:rsid w:val="0015432E"/>
    <w:rsid w:val="001546E5"/>
    <w:rsid w:val="001548BD"/>
    <w:rsid w:val="00154C97"/>
    <w:rsid w:val="00155251"/>
    <w:rsid w:val="0015568C"/>
    <w:rsid w:val="00155776"/>
    <w:rsid w:val="00155783"/>
    <w:rsid w:val="001561BC"/>
    <w:rsid w:val="001563D9"/>
    <w:rsid w:val="001568A1"/>
    <w:rsid w:val="00156A2D"/>
    <w:rsid w:val="00156AEE"/>
    <w:rsid w:val="0015716D"/>
    <w:rsid w:val="001573BB"/>
    <w:rsid w:val="001576C2"/>
    <w:rsid w:val="001576F4"/>
    <w:rsid w:val="00160618"/>
    <w:rsid w:val="00160656"/>
    <w:rsid w:val="00160B47"/>
    <w:rsid w:val="00160B8A"/>
    <w:rsid w:val="00160BB2"/>
    <w:rsid w:val="00160F19"/>
    <w:rsid w:val="001610B9"/>
    <w:rsid w:val="0016126C"/>
    <w:rsid w:val="00161426"/>
    <w:rsid w:val="001616E4"/>
    <w:rsid w:val="00161BBD"/>
    <w:rsid w:val="00161BC2"/>
    <w:rsid w:val="00161D11"/>
    <w:rsid w:val="00161D66"/>
    <w:rsid w:val="00162E36"/>
    <w:rsid w:val="001635CB"/>
    <w:rsid w:val="0016368E"/>
    <w:rsid w:val="001636B0"/>
    <w:rsid w:val="00163711"/>
    <w:rsid w:val="00163AEA"/>
    <w:rsid w:val="00163C7C"/>
    <w:rsid w:val="001643EF"/>
    <w:rsid w:val="00164474"/>
    <w:rsid w:val="00164778"/>
    <w:rsid w:val="00165067"/>
    <w:rsid w:val="001651A0"/>
    <w:rsid w:val="00165B48"/>
    <w:rsid w:val="00165B6C"/>
    <w:rsid w:val="001661B6"/>
    <w:rsid w:val="00166372"/>
    <w:rsid w:val="001664E1"/>
    <w:rsid w:val="001664FD"/>
    <w:rsid w:val="00166AF0"/>
    <w:rsid w:val="00167114"/>
    <w:rsid w:val="001671FB"/>
    <w:rsid w:val="001672A9"/>
    <w:rsid w:val="00167F98"/>
    <w:rsid w:val="001706EC"/>
    <w:rsid w:val="00170BA9"/>
    <w:rsid w:val="00170D08"/>
    <w:rsid w:val="00170F0F"/>
    <w:rsid w:val="001710E2"/>
    <w:rsid w:val="0017110F"/>
    <w:rsid w:val="00171180"/>
    <w:rsid w:val="00171421"/>
    <w:rsid w:val="0017175A"/>
    <w:rsid w:val="0017183D"/>
    <w:rsid w:val="0017190A"/>
    <w:rsid w:val="00171AF4"/>
    <w:rsid w:val="00171B96"/>
    <w:rsid w:val="00171C0A"/>
    <w:rsid w:val="00171C39"/>
    <w:rsid w:val="001727D9"/>
    <w:rsid w:val="001728BD"/>
    <w:rsid w:val="00172EE1"/>
    <w:rsid w:val="00173313"/>
    <w:rsid w:val="00173E43"/>
    <w:rsid w:val="001740B9"/>
    <w:rsid w:val="001742C6"/>
    <w:rsid w:val="001748D3"/>
    <w:rsid w:val="00174AA6"/>
    <w:rsid w:val="00174E68"/>
    <w:rsid w:val="00174FB6"/>
    <w:rsid w:val="001755B4"/>
    <w:rsid w:val="001755DA"/>
    <w:rsid w:val="00175641"/>
    <w:rsid w:val="00175A50"/>
    <w:rsid w:val="00175EA6"/>
    <w:rsid w:val="00175EF5"/>
    <w:rsid w:val="001762E6"/>
    <w:rsid w:val="001762F1"/>
    <w:rsid w:val="0017694E"/>
    <w:rsid w:val="00176A00"/>
    <w:rsid w:val="00176A3C"/>
    <w:rsid w:val="001771AF"/>
    <w:rsid w:val="00177385"/>
    <w:rsid w:val="0017764A"/>
    <w:rsid w:val="001801D8"/>
    <w:rsid w:val="0018055C"/>
    <w:rsid w:val="00180A38"/>
    <w:rsid w:val="00180BEE"/>
    <w:rsid w:val="00180F77"/>
    <w:rsid w:val="001812FD"/>
    <w:rsid w:val="0018132C"/>
    <w:rsid w:val="001814BE"/>
    <w:rsid w:val="00181576"/>
    <w:rsid w:val="001817A7"/>
    <w:rsid w:val="001817DA"/>
    <w:rsid w:val="00182070"/>
    <w:rsid w:val="00182079"/>
    <w:rsid w:val="00182703"/>
    <w:rsid w:val="001829DB"/>
    <w:rsid w:val="00182D10"/>
    <w:rsid w:val="00182F22"/>
    <w:rsid w:val="001834A0"/>
    <w:rsid w:val="00183739"/>
    <w:rsid w:val="001838DC"/>
    <w:rsid w:val="00183A39"/>
    <w:rsid w:val="00183E18"/>
    <w:rsid w:val="00183F4E"/>
    <w:rsid w:val="001854B7"/>
    <w:rsid w:val="00185A3D"/>
    <w:rsid w:val="00185F8C"/>
    <w:rsid w:val="00186CC6"/>
    <w:rsid w:val="00186CE8"/>
    <w:rsid w:val="00187AE9"/>
    <w:rsid w:val="00187C27"/>
    <w:rsid w:val="00187D4E"/>
    <w:rsid w:val="001902F8"/>
    <w:rsid w:val="001908C7"/>
    <w:rsid w:val="00190E04"/>
    <w:rsid w:val="0019115C"/>
    <w:rsid w:val="00191674"/>
    <w:rsid w:val="001921BC"/>
    <w:rsid w:val="001924FB"/>
    <w:rsid w:val="0019261F"/>
    <w:rsid w:val="00192878"/>
    <w:rsid w:val="0019339B"/>
    <w:rsid w:val="00193E99"/>
    <w:rsid w:val="00194127"/>
    <w:rsid w:val="001949FB"/>
    <w:rsid w:val="00194B18"/>
    <w:rsid w:val="00194B8E"/>
    <w:rsid w:val="00194D5B"/>
    <w:rsid w:val="0019521E"/>
    <w:rsid w:val="0019529D"/>
    <w:rsid w:val="001955F0"/>
    <w:rsid w:val="0019571F"/>
    <w:rsid w:val="001959BE"/>
    <w:rsid w:val="001959FC"/>
    <w:rsid w:val="00195CB9"/>
    <w:rsid w:val="0019627D"/>
    <w:rsid w:val="00196854"/>
    <w:rsid w:val="00196A97"/>
    <w:rsid w:val="001971FE"/>
    <w:rsid w:val="001972EB"/>
    <w:rsid w:val="00197933"/>
    <w:rsid w:val="001979BB"/>
    <w:rsid w:val="00197B87"/>
    <w:rsid w:val="001A01E6"/>
    <w:rsid w:val="001A0276"/>
    <w:rsid w:val="001A08FB"/>
    <w:rsid w:val="001A1259"/>
    <w:rsid w:val="001A1AE2"/>
    <w:rsid w:val="001A2777"/>
    <w:rsid w:val="001A2B0C"/>
    <w:rsid w:val="001A2CED"/>
    <w:rsid w:val="001A3152"/>
    <w:rsid w:val="001A3531"/>
    <w:rsid w:val="001A3FF3"/>
    <w:rsid w:val="001A4281"/>
    <w:rsid w:val="001A45B9"/>
    <w:rsid w:val="001A4ABA"/>
    <w:rsid w:val="001A4CBB"/>
    <w:rsid w:val="001A538B"/>
    <w:rsid w:val="001A57C0"/>
    <w:rsid w:val="001A59A4"/>
    <w:rsid w:val="001A5A6E"/>
    <w:rsid w:val="001A5B88"/>
    <w:rsid w:val="001A5FDB"/>
    <w:rsid w:val="001A64A6"/>
    <w:rsid w:val="001A66C5"/>
    <w:rsid w:val="001A6B47"/>
    <w:rsid w:val="001A73B0"/>
    <w:rsid w:val="001A77C6"/>
    <w:rsid w:val="001B098A"/>
    <w:rsid w:val="001B0A63"/>
    <w:rsid w:val="001B0A8E"/>
    <w:rsid w:val="001B0BF6"/>
    <w:rsid w:val="001B0D2B"/>
    <w:rsid w:val="001B0FB9"/>
    <w:rsid w:val="001B1416"/>
    <w:rsid w:val="001B1641"/>
    <w:rsid w:val="001B22D8"/>
    <w:rsid w:val="001B28A9"/>
    <w:rsid w:val="001B292D"/>
    <w:rsid w:val="001B2D3F"/>
    <w:rsid w:val="001B2D45"/>
    <w:rsid w:val="001B309E"/>
    <w:rsid w:val="001B3279"/>
    <w:rsid w:val="001B369B"/>
    <w:rsid w:val="001B3780"/>
    <w:rsid w:val="001B3879"/>
    <w:rsid w:val="001B3935"/>
    <w:rsid w:val="001B3C01"/>
    <w:rsid w:val="001B406C"/>
    <w:rsid w:val="001B4159"/>
    <w:rsid w:val="001B41EB"/>
    <w:rsid w:val="001B459A"/>
    <w:rsid w:val="001B4749"/>
    <w:rsid w:val="001B4767"/>
    <w:rsid w:val="001B4AA2"/>
    <w:rsid w:val="001B4F80"/>
    <w:rsid w:val="001B5B39"/>
    <w:rsid w:val="001B5F82"/>
    <w:rsid w:val="001B75E7"/>
    <w:rsid w:val="001B7869"/>
    <w:rsid w:val="001B7D77"/>
    <w:rsid w:val="001C0943"/>
    <w:rsid w:val="001C0A26"/>
    <w:rsid w:val="001C0BA8"/>
    <w:rsid w:val="001C0E18"/>
    <w:rsid w:val="001C1318"/>
    <w:rsid w:val="001C147F"/>
    <w:rsid w:val="001C1A5A"/>
    <w:rsid w:val="001C1EEB"/>
    <w:rsid w:val="001C2015"/>
    <w:rsid w:val="001C2021"/>
    <w:rsid w:val="001C295D"/>
    <w:rsid w:val="001C35F5"/>
    <w:rsid w:val="001C3EA5"/>
    <w:rsid w:val="001C419D"/>
    <w:rsid w:val="001C4857"/>
    <w:rsid w:val="001C562F"/>
    <w:rsid w:val="001C6186"/>
    <w:rsid w:val="001C6710"/>
    <w:rsid w:val="001C6857"/>
    <w:rsid w:val="001C696D"/>
    <w:rsid w:val="001C6D52"/>
    <w:rsid w:val="001C7060"/>
    <w:rsid w:val="001C717B"/>
    <w:rsid w:val="001C76C7"/>
    <w:rsid w:val="001C7880"/>
    <w:rsid w:val="001D0203"/>
    <w:rsid w:val="001D0246"/>
    <w:rsid w:val="001D04AB"/>
    <w:rsid w:val="001D0BDE"/>
    <w:rsid w:val="001D13C8"/>
    <w:rsid w:val="001D1E62"/>
    <w:rsid w:val="001D2377"/>
    <w:rsid w:val="001D23DF"/>
    <w:rsid w:val="001D27B5"/>
    <w:rsid w:val="001D288D"/>
    <w:rsid w:val="001D30D0"/>
    <w:rsid w:val="001D3533"/>
    <w:rsid w:val="001D35BC"/>
    <w:rsid w:val="001D3F03"/>
    <w:rsid w:val="001D45FA"/>
    <w:rsid w:val="001D51DA"/>
    <w:rsid w:val="001D6383"/>
    <w:rsid w:val="001D63B7"/>
    <w:rsid w:val="001D6B36"/>
    <w:rsid w:val="001D6DC5"/>
    <w:rsid w:val="001D7199"/>
    <w:rsid w:val="001D7C30"/>
    <w:rsid w:val="001D7F62"/>
    <w:rsid w:val="001E03BD"/>
    <w:rsid w:val="001E0713"/>
    <w:rsid w:val="001E077D"/>
    <w:rsid w:val="001E079B"/>
    <w:rsid w:val="001E0851"/>
    <w:rsid w:val="001E134F"/>
    <w:rsid w:val="001E1595"/>
    <w:rsid w:val="001E1DAE"/>
    <w:rsid w:val="001E1F4C"/>
    <w:rsid w:val="001E1FF0"/>
    <w:rsid w:val="001E259B"/>
    <w:rsid w:val="001E305E"/>
    <w:rsid w:val="001E3DEB"/>
    <w:rsid w:val="001E3EC3"/>
    <w:rsid w:val="001E3F0E"/>
    <w:rsid w:val="001E3F31"/>
    <w:rsid w:val="001E4417"/>
    <w:rsid w:val="001E489E"/>
    <w:rsid w:val="001E4CAC"/>
    <w:rsid w:val="001E5F62"/>
    <w:rsid w:val="001E61EA"/>
    <w:rsid w:val="001E66BC"/>
    <w:rsid w:val="001E683B"/>
    <w:rsid w:val="001E6A1B"/>
    <w:rsid w:val="001E6DC6"/>
    <w:rsid w:val="001E6DE5"/>
    <w:rsid w:val="001E7912"/>
    <w:rsid w:val="001E7FB2"/>
    <w:rsid w:val="001F0266"/>
    <w:rsid w:val="001F0666"/>
    <w:rsid w:val="001F08BE"/>
    <w:rsid w:val="001F107E"/>
    <w:rsid w:val="001F155D"/>
    <w:rsid w:val="001F16B4"/>
    <w:rsid w:val="001F17A4"/>
    <w:rsid w:val="001F2457"/>
    <w:rsid w:val="001F253C"/>
    <w:rsid w:val="001F2805"/>
    <w:rsid w:val="001F3ADE"/>
    <w:rsid w:val="001F46C4"/>
    <w:rsid w:val="001F4919"/>
    <w:rsid w:val="001F4F78"/>
    <w:rsid w:val="001F5C78"/>
    <w:rsid w:val="001F6E3B"/>
    <w:rsid w:val="001F6FE6"/>
    <w:rsid w:val="001F7393"/>
    <w:rsid w:val="001F7BA5"/>
    <w:rsid w:val="001F7DD2"/>
    <w:rsid w:val="001F7F97"/>
    <w:rsid w:val="00200199"/>
    <w:rsid w:val="002006E1"/>
    <w:rsid w:val="0020083F"/>
    <w:rsid w:val="00200856"/>
    <w:rsid w:val="00200D69"/>
    <w:rsid w:val="00200DC8"/>
    <w:rsid w:val="00201A9F"/>
    <w:rsid w:val="00201AAF"/>
    <w:rsid w:val="00201F0B"/>
    <w:rsid w:val="00202215"/>
    <w:rsid w:val="002022FF"/>
    <w:rsid w:val="00203237"/>
    <w:rsid w:val="00203562"/>
    <w:rsid w:val="00203730"/>
    <w:rsid w:val="00203D89"/>
    <w:rsid w:val="00203DFC"/>
    <w:rsid w:val="00203F47"/>
    <w:rsid w:val="002041B2"/>
    <w:rsid w:val="00204851"/>
    <w:rsid w:val="00204CE2"/>
    <w:rsid w:val="00204F23"/>
    <w:rsid w:val="00205679"/>
    <w:rsid w:val="002059B3"/>
    <w:rsid w:val="00205A8E"/>
    <w:rsid w:val="00205BF8"/>
    <w:rsid w:val="00205C87"/>
    <w:rsid w:val="00205DFB"/>
    <w:rsid w:val="00206443"/>
    <w:rsid w:val="0020651E"/>
    <w:rsid w:val="0020653F"/>
    <w:rsid w:val="002065BD"/>
    <w:rsid w:val="00206707"/>
    <w:rsid w:val="00206CA8"/>
    <w:rsid w:val="0020784E"/>
    <w:rsid w:val="00207857"/>
    <w:rsid w:val="00210739"/>
    <w:rsid w:val="00211BA3"/>
    <w:rsid w:val="00211D42"/>
    <w:rsid w:val="00212496"/>
    <w:rsid w:val="002132F0"/>
    <w:rsid w:val="0021334D"/>
    <w:rsid w:val="00213377"/>
    <w:rsid w:val="002133C3"/>
    <w:rsid w:val="002134B4"/>
    <w:rsid w:val="00213AB0"/>
    <w:rsid w:val="00213AC7"/>
    <w:rsid w:val="00213FD7"/>
    <w:rsid w:val="00214218"/>
    <w:rsid w:val="00214B91"/>
    <w:rsid w:val="0021540C"/>
    <w:rsid w:val="002155A9"/>
    <w:rsid w:val="00215A87"/>
    <w:rsid w:val="00215E7E"/>
    <w:rsid w:val="002165F9"/>
    <w:rsid w:val="0021670F"/>
    <w:rsid w:val="00216995"/>
    <w:rsid w:val="002169EE"/>
    <w:rsid w:val="00216D6C"/>
    <w:rsid w:val="00216E2B"/>
    <w:rsid w:val="00217010"/>
    <w:rsid w:val="00217802"/>
    <w:rsid w:val="002178C4"/>
    <w:rsid w:val="002179B9"/>
    <w:rsid w:val="00217FD2"/>
    <w:rsid w:val="00220210"/>
    <w:rsid w:val="00220825"/>
    <w:rsid w:val="00220D52"/>
    <w:rsid w:val="00220F9A"/>
    <w:rsid w:val="00221465"/>
    <w:rsid w:val="002214A4"/>
    <w:rsid w:val="00221526"/>
    <w:rsid w:val="00221651"/>
    <w:rsid w:val="002218DD"/>
    <w:rsid w:val="002226D7"/>
    <w:rsid w:val="00222985"/>
    <w:rsid w:val="00222A52"/>
    <w:rsid w:val="00222DBA"/>
    <w:rsid w:val="00223072"/>
    <w:rsid w:val="002230B1"/>
    <w:rsid w:val="0022317A"/>
    <w:rsid w:val="0022336C"/>
    <w:rsid w:val="00223537"/>
    <w:rsid w:val="00223C36"/>
    <w:rsid w:val="00224188"/>
    <w:rsid w:val="002245B4"/>
    <w:rsid w:val="00224BD4"/>
    <w:rsid w:val="00224DA4"/>
    <w:rsid w:val="00224E4C"/>
    <w:rsid w:val="002251C6"/>
    <w:rsid w:val="002260AF"/>
    <w:rsid w:val="00226730"/>
    <w:rsid w:val="0022688D"/>
    <w:rsid w:val="00227878"/>
    <w:rsid w:val="00227B64"/>
    <w:rsid w:val="00227B88"/>
    <w:rsid w:val="00227D9C"/>
    <w:rsid w:val="00230031"/>
    <w:rsid w:val="00230290"/>
    <w:rsid w:val="00230405"/>
    <w:rsid w:val="00230837"/>
    <w:rsid w:val="00230F8C"/>
    <w:rsid w:val="00230FDD"/>
    <w:rsid w:val="002316A0"/>
    <w:rsid w:val="00231872"/>
    <w:rsid w:val="00231F26"/>
    <w:rsid w:val="00232227"/>
    <w:rsid w:val="002326E0"/>
    <w:rsid w:val="00232940"/>
    <w:rsid w:val="002329B2"/>
    <w:rsid w:val="00232E5C"/>
    <w:rsid w:val="00232ED6"/>
    <w:rsid w:val="0023339E"/>
    <w:rsid w:val="0023385B"/>
    <w:rsid w:val="00233E55"/>
    <w:rsid w:val="00233FFF"/>
    <w:rsid w:val="00234176"/>
    <w:rsid w:val="00234455"/>
    <w:rsid w:val="0023453D"/>
    <w:rsid w:val="002349D9"/>
    <w:rsid w:val="002354B5"/>
    <w:rsid w:val="00235989"/>
    <w:rsid w:val="00235B0B"/>
    <w:rsid w:val="00235F4A"/>
    <w:rsid w:val="00236207"/>
    <w:rsid w:val="0023645F"/>
    <w:rsid w:val="00236870"/>
    <w:rsid w:val="00236A85"/>
    <w:rsid w:val="00236B50"/>
    <w:rsid w:val="00236C3E"/>
    <w:rsid w:val="00236C55"/>
    <w:rsid w:val="002371D4"/>
    <w:rsid w:val="002377BA"/>
    <w:rsid w:val="00237B35"/>
    <w:rsid w:val="00237C6E"/>
    <w:rsid w:val="0024003B"/>
    <w:rsid w:val="002401C0"/>
    <w:rsid w:val="00240434"/>
    <w:rsid w:val="0024110A"/>
    <w:rsid w:val="002411CA"/>
    <w:rsid w:val="00241423"/>
    <w:rsid w:val="00241491"/>
    <w:rsid w:val="00241749"/>
    <w:rsid w:val="00241AF8"/>
    <w:rsid w:val="00241E0B"/>
    <w:rsid w:val="0024266B"/>
    <w:rsid w:val="00242713"/>
    <w:rsid w:val="00242814"/>
    <w:rsid w:val="00242FC8"/>
    <w:rsid w:val="0024322E"/>
    <w:rsid w:val="0024384C"/>
    <w:rsid w:val="0024395D"/>
    <w:rsid w:val="0024418E"/>
    <w:rsid w:val="00244C71"/>
    <w:rsid w:val="00244F46"/>
    <w:rsid w:val="00245612"/>
    <w:rsid w:val="00245652"/>
    <w:rsid w:val="00245A3D"/>
    <w:rsid w:val="00245BCD"/>
    <w:rsid w:val="00245FBD"/>
    <w:rsid w:val="002470DB"/>
    <w:rsid w:val="002475BB"/>
    <w:rsid w:val="00247886"/>
    <w:rsid w:val="002478FF"/>
    <w:rsid w:val="002500D3"/>
    <w:rsid w:val="002501E1"/>
    <w:rsid w:val="00251288"/>
    <w:rsid w:val="0025145D"/>
    <w:rsid w:val="0025155B"/>
    <w:rsid w:val="00251DC7"/>
    <w:rsid w:val="00251F56"/>
    <w:rsid w:val="00251FE9"/>
    <w:rsid w:val="002525EA"/>
    <w:rsid w:val="002527EB"/>
    <w:rsid w:val="00252F60"/>
    <w:rsid w:val="002535D1"/>
    <w:rsid w:val="002539A3"/>
    <w:rsid w:val="00253C60"/>
    <w:rsid w:val="00253EA5"/>
    <w:rsid w:val="00254100"/>
    <w:rsid w:val="002545B7"/>
    <w:rsid w:val="00254C41"/>
    <w:rsid w:val="00254C42"/>
    <w:rsid w:val="00255687"/>
    <w:rsid w:val="00255903"/>
    <w:rsid w:val="00255D28"/>
    <w:rsid w:val="002563A5"/>
    <w:rsid w:val="00256500"/>
    <w:rsid w:val="00256C94"/>
    <w:rsid w:val="00256DF4"/>
    <w:rsid w:val="002572D0"/>
    <w:rsid w:val="0025763A"/>
    <w:rsid w:val="002576A4"/>
    <w:rsid w:val="00257890"/>
    <w:rsid w:val="00257A0E"/>
    <w:rsid w:val="00257D1B"/>
    <w:rsid w:val="002609A5"/>
    <w:rsid w:val="00260CB0"/>
    <w:rsid w:val="00260CE1"/>
    <w:rsid w:val="00261100"/>
    <w:rsid w:val="00261C9D"/>
    <w:rsid w:val="00261F8C"/>
    <w:rsid w:val="0026282C"/>
    <w:rsid w:val="00262B3E"/>
    <w:rsid w:val="00262F1F"/>
    <w:rsid w:val="00263070"/>
    <w:rsid w:val="002632CE"/>
    <w:rsid w:val="00263DA9"/>
    <w:rsid w:val="00264286"/>
    <w:rsid w:val="00264E17"/>
    <w:rsid w:val="0026512C"/>
    <w:rsid w:val="00265941"/>
    <w:rsid w:val="00265C88"/>
    <w:rsid w:val="00265CF6"/>
    <w:rsid w:val="00265FE7"/>
    <w:rsid w:val="0026624C"/>
    <w:rsid w:val="00266550"/>
    <w:rsid w:val="00266962"/>
    <w:rsid w:val="00266B11"/>
    <w:rsid w:val="00266DE0"/>
    <w:rsid w:val="00266F59"/>
    <w:rsid w:val="00267015"/>
    <w:rsid w:val="00267320"/>
    <w:rsid w:val="00267512"/>
    <w:rsid w:val="00267C2E"/>
    <w:rsid w:val="0027014B"/>
    <w:rsid w:val="00271175"/>
    <w:rsid w:val="0027125A"/>
    <w:rsid w:val="00271CC3"/>
    <w:rsid w:val="0027274B"/>
    <w:rsid w:val="00273009"/>
    <w:rsid w:val="0027360E"/>
    <w:rsid w:val="002736C1"/>
    <w:rsid w:val="00273752"/>
    <w:rsid w:val="002738B1"/>
    <w:rsid w:val="00273B74"/>
    <w:rsid w:val="00273BF3"/>
    <w:rsid w:val="00274572"/>
    <w:rsid w:val="00274622"/>
    <w:rsid w:val="002746EE"/>
    <w:rsid w:val="0027482F"/>
    <w:rsid w:val="002748EC"/>
    <w:rsid w:val="00274917"/>
    <w:rsid w:val="00274D1B"/>
    <w:rsid w:val="002754F4"/>
    <w:rsid w:val="00276028"/>
    <w:rsid w:val="002760EB"/>
    <w:rsid w:val="00276325"/>
    <w:rsid w:val="002764C8"/>
    <w:rsid w:val="0027698C"/>
    <w:rsid w:val="00276DCC"/>
    <w:rsid w:val="00276EEB"/>
    <w:rsid w:val="00276F41"/>
    <w:rsid w:val="002770BC"/>
    <w:rsid w:val="002770FD"/>
    <w:rsid w:val="0027731A"/>
    <w:rsid w:val="00277895"/>
    <w:rsid w:val="00280049"/>
    <w:rsid w:val="002801A9"/>
    <w:rsid w:val="002801E3"/>
    <w:rsid w:val="0028047E"/>
    <w:rsid w:val="002805A3"/>
    <w:rsid w:val="002808C8"/>
    <w:rsid w:val="002809F4"/>
    <w:rsid w:val="00280B25"/>
    <w:rsid w:val="00280C80"/>
    <w:rsid w:val="00280EF4"/>
    <w:rsid w:val="00280F9E"/>
    <w:rsid w:val="00281220"/>
    <w:rsid w:val="00281D9A"/>
    <w:rsid w:val="00282A25"/>
    <w:rsid w:val="00282F57"/>
    <w:rsid w:val="00283508"/>
    <w:rsid w:val="0028398E"/>
    <w:rsid w:val="00284085"/>
    <w:rsid w:val="0028438B"/>
    <w:rsid w:val="002846F8"/>
    <w:rsid w:val="00284ADF"/>
    <w:rsid w:val="00284C59"/>
    <w:rsid w:val="002852F8"/>
    <w:rsid w:val="0028541E"/>
    <w:rsid w:val="00285B7A"/>
    <w:rsid w:val="00285E61"/>
    <w:rsid w:val="00285F65"/>
    <w:rsid w:val="00285FF6"/>
    <w:rsid w:val="00286247"/>
    <w:rsid w:val="002862B8"/>
    <w:rsid w:val="00286411"/>
    <w:rsid w:val="00286610"/>
    <w:rsid w:val="00286657"/>
    <w:rsid w:val="002866D8"/>
    <w:rsid w:val="00286759"/>
    <w:rsid w:val="00286C90"/>
    <w:rsid w:val="002878C8"/>
    <w:rsid w:val="002879A4"/>
    <w:rsid w:val="0029070D"/>
    <w:rsid w:val="00290816"/>
    <w:rsid w:val="0029082C"/>
    <w:rsid w:val="00290AE7"/>
    <w:rsid w:val="0029104E"/>
    <w:rsid w:val="00291260"/>
    <w:rsid w:val="00291571"/>
    <w:rsid w:val="00291A0C"/>
    <w:rsid w:val="00291FA6"/>
    <w:rsid w:val="00292424"/>
    <w:rsid w:val="0029271F"/>
    <w:rsid w:val="00292DF8"/>
    <w:rsid w:val="00293146"/>
    <w:rsid w:val="0029356A"/>
    <w:rsid w:val="00293600"/>
    <w:rsid w:val="002937E5"/>
    <w:rsid w:val="00293B21"/>
    <w:rsid w:val="00293EDD"/>
    <w:rsid w:val="002942A5"/>
    <w:rsid w:val="002947A9"/>
    <w:rsid w:val="00294F03"/>
    <w:rsid w:val="0029576C"/>
    <w:rsid w:val="00296D74"/>
    <w:rsid w:val="002971BE"/>
    <w:rsid w:val="00297682"/>
    <w:rsid w:val="00297B66"/>
    <w:rsid w:val="002A0142"/>
    <w:rsid w:val="002A018F"/>
    <w:rsid w:val="002A0425"/>
    <w:rsid w:val="002A0507"/>
    <w:rsid w:val="002A05AF"/>
    <w:rsid w:val="002A1016"/>
    <w:rsid w:val="002A1106"/>
    <w:rsid w:val="002A1848"/>
    <w:rsid w:val="002A1AE8"/>
    <w:rsid w:val="002A1E57"/>
    <w:rsid w:val="002A31E4"/>
    <w:rsid w:val="002A393D"/>
    <w:rsid w:val="002A3BA5"/>
    <w:rsid w:val="002A4143"/>
    <w:rsid w:val="002A444E"/>
    <w:rsid w:val="002A476C"/>
    <w:rsid w:val="002A47EF"/>
    <w:rsid w:val="002A4987"/>
    <w:rsid w:val="002A4B21"/>
    <w:rsid w:val="002A4B8F"/>
    <w:rsid w:val="002A4D67"/>
    <w:rsid w:val="002A503A"/>
    <w:rsid w:val="002A51B8"/>
    <w:rsid w:val="002A5856"/>
    <w:rsid w:val="002A5E98"/>
    <w:rsid w:val="002A5F35"/>
    <w:rsid w:val="002A6F00"/>
    <w:rsid w:val="002A6F38"/>
    <w:rsid w:val="002A76E7"/>
    <w:rsid w:val="002A78A0"/>
    <w:rsid w:val="002A7A97"/>
    <w:rsid w:val="002A7C93"/>
    <w:rsid w:val="002A7EB3"/>
    <w:rsid w:val="002B015E"/>
    <w:rsid w:val="002B03D1"/>
    <w:rsid w:val="002B0665"/>
    <w:rsid w:val="002B0767"/>
    <w:rsid w:val="002B0D21"/>
    <w:rsid w:val="002B0DC9"/>
    <w:rsid w:val="002B134C"/>
    <w:rsid w:val="002B15BD"/>
    <w:rsid w:val="002B1887"/>
    <w:rsid w:val="002B1A81"/>
    <w:rsid w:val="002B1B35"/>
    <w:rsid w:val="002B2643"/>
    <w:rsid w:val="002B2983"/>
    <w:rsid w:val="002B2D0A"/>
    <w:rsid w:val="002B2F32"/>
    <w:rsid w:val="002B335D"/>
    <w:rsid w:val="002B401F"/>
    <w:rsid w:val="002B42D9"/>
    <w:rsid w:val="002B5FD5"/>
    <w:rsid w:val="002B6390"/>
    <w:rsid w:val="002B6593"/>
    <w:rsid w:val="002B677F"/>
    <w:rsid w:val="002B68E6"/>
    <w:rsid w:val="002B6EFE"/>
    <w:rsid w:val="002B71E2"/>
    <w:rsid w:val="002B7299"/>
    <w:rsid w:val="002B74BC"/>
    <w:rsid w:val="002B7584"/>
    <w:rsid w:val="002B76B6"/>
    <w:rsid w:val="002B7924"/>
    <w:rsid w:val="002B7D3F"/>
    <w:rsid w:val="002C0077"/>
    <w:rsid w:val="002C0434"/>
    <w:rsid w:val="002C0501"/>
    <w:rsid w:val="002C06F4"/>
    <w:rsid w:val="002C0719"/>
    <w:rsid w:val="002C12AA"/>
    <w:rsid w:val="002C13BE"/>
    <w:rsid w:val="002C15EB"/>
    <w:rsid w:val="002C1733"/>
    <w:rsid w:val="002C17B5"/>
    <w:rsid w:val="002C1B2E"/>
    <w:rsid w:val="002C1B69"/>
    <w:rsid w:val="002C1EA2"/>
    <w:rsid w:val="002C2801"/>
    <w:rsid w:val="002C2A7B"/>
    <w:rsid w:val="002C2D7E"/>
    <w:rsid w:val="002C369F"/>
    <w:rsid w:val="002C403A"/>
    <w:rsid w:val="002C405B"/>
    <w:rsid w:val="002C4603"/>
    <w:rsid w:val="002C486E"/>
    <w:rsid w:val="002C4CBC"/>
    <w:rsid w:val="002C5493"/>
    <w:rsid w:val="002C554F"/>
    <w:rsid w:val="002C587C"/>
    <w:rsid w:val="002C5993"/>
    <w:rsid w:val="002C5AF6"/>
    <w:rsid w:val="002C5DD8"/>
    <w:rsid w:val="002C6191"/>
    <w:rsid w:val="002C61AE"/>
    <w:rsid w:val="002C653E"/>
    <w:rsid w:val="002C65A5"/>
    <w:rsid w:val="002C684A"/>
    <w:rsid w:val="002C6916"/>
    <w:rsid w:val="002C6B60"/>
    <w:rsid w:val="002C6F44"/>
    <w:rsid w:val="002C7399"/>
    <w:rsid w:val="002C76F0"/>
    <w:rsid w:val="002C7848"/>
    <w:rsid w:val="002C7927"/>
    <w:rsid w:val="002C7E2C"/>
    <w:rsid w:val="002D07ED"/>
    <w:rsid w:val="002D0D61"/>
    <w:rsid w:val="002D0E17"/>
    <w:rsid w:val="002D0E43"/>
    <w:rsid w:val="002D0F26"/>
    <w:rsid w:val="002D104D"/>
    <w:rsid w:val="002D1097"/>
    <w:rsid w:val="002D1296"/>
    <w:rsid w:val="002D1873"/>
    <w:rsid w:val="002D1C11"/>
    <w:rsid w:val="002D1E44"/>
    <w:rsid w:val="002D1E92"/>
    <w:rsid w:val="002D27FC"/>
    <w:rsid w:val="002D2A8E"/>
    <w:rsid w:val="002D2CD0"/>
    <w:rsid w:val="002D3359"/>
    <w:rsid w:val="002D39FC"/>
    <w:rsid w:val="002D3AFA"/>
    <w:rsid w:val="002D4819"/>
    <w:rsid w:val="002D4821"/>
    <w:rsid w:val="002D4BE6"/>
    <w:rsid w:val="002D4CF3"/>
    <w:rsid w:val="002D4D93"/>
    <w:rsid w:val="002D4FA2"/>
    <w:rsid w:val="002D5411"/>
    <w:rsid w:val="002D59B0"/>
    <w:rsid w:val="002D5D3F"/>
    <w:rsid w:val="002D632B"/>
    <w:rsid w:val="002D660A"/>
    <w:rsid w:val="002D743A"/>
    <w:rsid w:val="002D755B"/>
    <w:rsid w:val="002D7623"/>
    <w:rsid w:val="002D766F"/>
    <w:rsid w:val="002D7812"/>
    <w:rsid w:val="002D7DF2"/>
    <w:rsid w:val="002E0288"/>
    <w:rsid w:val="002E0540"/>
    <w:rsid w:val="002E064D"/>
    <w:rsid w:val="002E0728"/>
    <w:rsid w:val="002E0B00"/>
    <w:rsid w:val="002E111A"/>
    <w:rsid w:val="002E1308"/>
    <w:rsid w:val="002E1526"/>
    <w:rsid w:val="002E1837"/>
    <w:rsid w:val="002E1D2C"/>
    <w:rsid w:val="002E28E1"/>
    <w:rsid w:val="002E29F9"/>
    <w:rsid w:val="002E2AF7"/>
    <w:rsid w:val="002E2C57"/>
    <w:rsid w:val="002E2C79"/>
    <w:rsid w:val="002E2E12"/>
    <w:rsid w:val="002E347F"/>
    <w:rsid w:val="002E3D94"/>
    <w:rsid w:val="002E3EFA"/>
    <w:rsid w:val="002E47A9"/>
    <w:rsid w:val="002E4BC0"/>
    <w:rsid w:val="002E4DE7"/>
    <w:rsid w:val="002E52F9"/>
    <w:rsid w:val="002E57B0"/>
    <w:rsid w:val="002E5877"/>
    <w:rsid w:val="002E6299"/>
    <w:rsid w:val="002E6E76"/>
    <w:rsid w:val="002E73EF"/>
    <w:rsid w:val="002E7C56"/>
    <w:rsid w:val="002E7C57"/>
    <w:rsid w:val="002E7C9C"/>
    <w:rsid w:val="002F0007"/>
    <w:rsid w:val="002F03B8"/>
    <w:rsid w:val="002F0549"/>
    <w:rsid w:val="002F0B59"/>
    <w:rsid w:val="002F0FD4"/>
    <w:rsid w:val="002F1638"/>
    <w:rsid w:val="002F1C50"/>
    <w:rsid w:val="002F1C64"/>
    <w:rsid w:val="002F1F94"/>
    <w:rsid w:val="002F215B"/>
    <w:rsid w:val="002F2A2D"/>
    <w:rsid w:val="002F2E40"/>
    <w:rsid w:val="002F35F9"/>
    <w:rsid w:val="002F36D9"/>
    <w:rsid w:val="002F3897"/>
    <w:rsid w:val="002F3A24"/>
    <w:rsid w:val="002F435F"/>
    <w:rsid w:val="002F47C2"/>
    <w:rsid w:val="002F4BA1"/>
    <w:rsid w:val="002F56DA"/>
    <w:rsid w:val="002F5935"/>
    <w:rsid w:val="002F5B33"/>
    <w:rsid w:val="002F5B82"/>
    <w:rsid w:val="002F612E"/>
    <w:rsid w:val="002F65BD"/>
    <w:rsid w:val="002F67D9"/>
    <w:rsid w:val="002F6C6B"/>
    <w:rsid w:val="002F6E45"/>
    <w:rsid w:val="002F73AC"/>
    <w:rsid w:val="002F74B7"/>
    <w:rsid w:val="002F7798"/>
    <w:rsid w:val="002F7FD6"/>
    <w:rsid w:val="003001D0"/>
    <w:rsid w:val="00300390"/>
    <w:rsid w:val="00300905"/>
    <w:rsid w:val="003012B4"/>
    <w:rsid w:val="0030136A"/>
    <w:rsid w:val="003014FC"/>
    <w:rsid w:val="00302448"/>
    <w:rsid w:val="00302AD0"/>
    <w:rsid w:val="00302CF8"/>
    <w:rsid w:val="00303784"/>
    <w:rsid w:val="00303D3F"/>
    <w:rsid w:val="00303DDE"/>
    <w:rsid w:val="003049CF"/>
    <w:rsid w:val="00304A11"/>
    <w:rsid w:val="00304CDE"/>
    <w:rsid w:val="00304EC9"/>
    <w:rsid w:val="003060B2"/>
    <w:rsid w:val="00306C28"/>
    <w:rsid w:val="00310106"/>
    <w:rsid w:val="00310735"/>
    <w:rsid w:val="003109E3"/>
    <w:rsid w:val="00310DC0"/>
    <w:rsid w:val="00311691"/>
    <w:rsid w:val="0031175B"/>
    <w:rsid w:val="00311B1D"/>
    <w:rsid w:val="0031203D"/>
    <w:rsid w:val="003120AB"/>
    <w:rsid w:val="00312359"/>
    <w:rsid w:val="003123F9"/>
    <w:rsid w:val="0031341B"/>
    <w:rsid w:val="00313B89"/>
    <w:rsid w:val="0031402C"/>
    <w:rsid w:val="00314C96"/>
    <w:rsid w:val="003152D8"/>
    <w:rsid w:val="003153FA"/>
    <w:rsid w:val="00315639"/>
    <w:rsid w:val="00315888"/>
    <w:rsid w:val="00315CFC"/>
    <w:rsid w:val="0031620D"/>
    <w:rsid w:val="00316219"/>
    <w:rsid w:val="00316800"/>
    <w:rsid w:val="0031698C"/>
    <w:rsid w:val="00316D6C"/>
    <w:rsid w:val="00316F33"/>
    <w:rsid w:val="00316F99"/>
    <w:rsid w:val="0031719D"/>
    <w:rsid w:val="003173D0"/>
    <w:rsid w:val="003174B7"/>
    <w:rsid w:val="0031797D"/>
    <w:rsid w:val="00317ADA"/>
    <w:rsid w:val="00317C63"/>
    <w:rsid w:val="00317D00"/>
    <w:rsid w:val="00317DF1"/>
    <w:rsid w:val="00317E7F"/>
    <w:rsid w:val="003203D2"/>
    <w:rsid w:val="0032063F"/>
    <w:rsid w:val="003224B1"/>
    <w:rsid w:val="003227FA"/>
    <w:rsid w:val="00322926"/>
    <w:rsid w:val="00322F4F"/>
    <w:rsid w:val="0032330C"/>
    <w:rsid w:val="00323454"/>
    <w:rsid w:val="003236E4"/>
    <w:rsid w:val="00324375"/>
    <w:rsid w:val="003244F2"/>
    <w:rsid w:val="00324728"/>
    <w:rsid w:val="00324F0E"/>
    <w:rsid w:val="0032505E"/>
    <w:rsid w:val="00325ACA"/>
    <w:rsid w:val="00325CF0"/>
    <w:rsid w:val="00325D89"/>
    <w:rsid w:val="003264BC"/>
    <w:rsid w:val="00326B5D"/>
    <w:rsid w:val="00326E1F"/>
    <w:rsid w:val="003271F8"/>
    <w:rsid w:val="00327493"/>
    <w:rsid w:val="00327643"/>
    <w:rsid w:val="00327B4E"/>
    <w:rsid w:val="00327C96"/>
    <w:rsid w:val="0033030E"/>
    <w:rsid w:val="00330679"/>
    <w:rsid w:val="003309EA"/>
    <w:rsid w:val="00331156"/>
    <w:rsid w:val="0033133F"/>
    <w:rsid w:val="00331437"/>
    <w:rsid w:val="003317A4"/>
    <w:rsid w:val="003325C1"/>
    <w:rsid w:val="00332C51"/>
    <w:rsid w:val="00332E2D"/>
    <w:rsid w:val="00332EB0"/>
    <w:rsid w:val="00333C4B"/>
    <w:rsid w:val="00333EED"/>
    <w:rsid w:val="00334079"/>
    <w:rsid w:val="00334F97"/>
    <w:rsid w:val="0033555C"/>
    <w:rsid w:val="00335860"/>
    <w:rsid w:val="003360F9"/>
    <w:rsid w:val="003363DB"/>
    <w:rsid w:val="00336B8C"/>
    <w:rsid w:val="00337041"/>
    <w:rsid w:val="00337652"/>
    <w:rsid w:val="00337FB3"/>
    <w:rsid w:val="0034066B"/>
    <w:rsid w:val="00340B19"/>
    <w:rsid w:val="00340B9E"/>
    <w:rsid w:val="00341076"/>
    <w:rsid w:val="00341264"/>
    <w:rsid w:val="00341284"/>
    <w:rsid w:val="00341DF0"/>
    <w:rsid w:val="00342861"/>
    <w:rsid w:val="003429A2"/>
    <w:rsid w:val="0034507F"/>
    <w:rsid w:val="0034625F"/>
    <w:rsid w:val="003467ED"/>
    <w:rsid w:val="003468CB"/>
    <w:rsid w:val="003469B7"/>
    <w:rsid w:val="00346AD0"/>
    <w:rsid w:val="0034726C"/>
    <w:rsid w:val="0034773A"/>
    <w:rsid w:val="0034782C"/>
    <w:rsid w:val="00347A07"/>
    <w:rsid w:val="00347DAB"/>
    <w:rsid w:val="003505DA"/>
    <w:rsid w:val="00350884"/>
    <w:rsid w:val="00350BA4"/>
    <w:rsid w:val="0035106C"/>
    <w:rsid w:val="00351275"/>
    <w:rsid w:val="0035192D"/>
    <w:rsid w:val="00351B1D"/>
    <w:rsid w:val="00352C4E"/>
    <w:rsid w:val="00352CB4"/>
    <w:rsid w:val="00352E22"/>
    <w:rsid w:val="003538B8"/>
    <w:rsid w:val="00353AC5"/>
    <w:rsid w:val="00353D38"/>
    <w:rsid w:val="00353E22"/>
    <w:rsid w:val="0035418C"/>
    <w:rsid w:val="003544AF"/>
    <w:rsid w:val="00355A71"/>
    <w:rsid w:val="00355AC4"/>
    <w:rsid w:val="00355E0F"/>
    <w:rsid w:val="003560B1"/>
    <w:rsid w:val="0035630E"/>
    <w:rsid w:val="0035644A"/>
    <w:rsid w:val="00356544"/>
    <w:rsid w:val="003566AF"/>
    <w:rsid w:val="003569C2"/>
    <w:rsid w:val="003569CE"/>
    <w:rsid w:val="00356EC4"/>
    <w:rsid w:val="00357074"/>
    <w:rsid w:val="0035723E"/>
    <w:rsid w:val="00357411"/>
    <w:rsid w:val="003574B3"/>
    <w:rsid w:val="0035785A"/>
    <w:rsid w:val="00357B37"/>
    <w:rsid w:val="0036000F"/>
    <w:rsid w:val="003603F8"/>
    <w:rsid w:val="0036073B"/>
    <w:rsid w:val="0036081F"/>
    <w:rsid w:val="003609A0"/>
    <w:rsid w:val="00360A21"/>
    <w:rsid w:val="00360E8B"/>
    <w:rsid w:val="0036159E"/>
    <w:rsid w:val="00361B59"/>
    <w:rsid w:val="00362535"/>
    <w:rsid w:val="00362AB2"/>
    <w:rsid w:val="00362B36"/>
    <w:rsid w:val="00362C41"/>
    <w:rsid w:val="00362D67"/>
    <w:rsid w:val="0036340A"/>
    <w:rsid w:val="00363690"/>
    <w:rsid w:val="003637EB"/>
    <w:rsid w:val="00363B17"/>
    <w:rsid w:val="00363EE2"/>
    <w:rsid w:val="003644BF"/>
    <w:rsid w:val="00364B68"/>
    <w:rsid w:val="00364D6F"/>
    <w:rsid w:val="0036501D"/>
    <w:rsid w:val="00366337"/>
    <w:rsid w:val="003664FF"/>
    <w:rsid w:val="00366BA7"/>
    <w:rsid w:val="0036756C"/>
    <w:rsid w:val="0037024C"/>
    <w:rsid w:val="0037034E"/>
    <w:rsid w:val="00370642"/>
    <w:rsid w:val="003707BE"/>
    <w:rsid w:val="00370D01"/>
    <w:rsid w:val="00370E68"/>
    <w:rsid w:val="00371316"/>
    <w:rsid w:val="0037177E"/>
    <w:rsid w:val="003725DA"/>
    <w:rsid w:val="0037277B"/>
    <w:rsid w:val="003729A9"/>
    <w:rsid w:val="00372CBE"/>
    <w:rsid w:val="00372CC5"/>
    <w:rsid w:val="00372E82"/>
    <w:rsid w:val="00373121"/>
    <w:rsid w:val="00373594"/>
    <w:rsid w:val="00373DDD"/>
    <w:rsid w:val="00374255"/>
    <w:rsid w:val="003748FD"/>
    <w:rsid w:val="00374A2F"/>
    <w:rsid w:val="00375174"/>
    <w:rsid w:val="0037554A"/>
    <w:rsid w:val="00375AEC"/>
    <w:rsid w:val="00375FD5"/>
    <w:rsid w:val="00376742"/>
    <w:rsid w:val="003767EF"/>
    <w:rsid w:val="00376D7A"/>
    <w:rsid w:val="0037710A"/>
    <w:rsid w:val="0037772D"/>
    <w:rsid w:val="00377785"/>
    <w:rsid w:val="003779E8"/>
    <w:rsid w:val="0038045C"/>
    <w:rsid w:val="0038065C"/>
    <w:rsid w:val="00381D81"/>
    <w:rsid w:val="00382095"/>
    <w:rsid w:val="003821A4"/>
    <w:rsid w:val="003821F1"/>
    <w:rsid w:val="00382AE6"/>
    <w:rsid w:val="00382BF4"/>
    <w:rsid w:val="00383F00"/>
    <w:rsid w:val="0038474C"/>
    <w:rsid w:val="00384AC3"/>
    <w:rsid w:val="003851BE"/>
    <w:rsid w:val="00385326"/>
    <w:rsid w:val="00385996"/>
    <w:rsid w:val="00385CD0"/>
    <w:rsid w:val="00385E1E"/>
    <w:rsid w:val="00385F91"/>
    <w:rsid w:val="003864EF"/>
    <w:rsid w:val="00386A47"/>
    <w:rsid w:val="00386AE1"/>
    <w:rsid w:val="00386B40"/>
    <w:rsid w:val="00386F0B"/>
    <w:rsid w:val="003870F3"/>
    <w:rsid w:val="0038710E"/>
    <w:rsid w:val="00387738"/>
    <w:rsid w:val="00387A42"/>
    <w:rsid w:val="00390B58"/>
    <w:rsid w:val="00390BB1"/>
    <w:rsid w:val="00390D6F"/>
    <w:rsid w:val="003911DD"/>
    <w:rsid w:val="003915FD"/>
    <w:rsid w:val="00391620"/>
    <w:rsid w:val="00391FCC"/>
    <w:rsid w:val="00392038"/>
    <w:rsid w:val="00392319"/>
    <w:rsid w:val="00392635"/>
    <w:rsid w:val="003927DD"/>
    <w:rsid w:val="003939A0"/>
    <w:rsid w:val="00393B82"/>
    <w:rsid w:val="00393C42"/>
    <w:rsid w:val="00393D16"/>
    <w:rsid w:val="003949C2"/>
    <w:rsid w:val="00394EB9"/>
    <w:rsid w:val="00395092"/>
    <w:rsid w:val="00395653"/>
    <w:rsid w:val="003957BE"/>
    <w:rsid w:val="00395B72"/>
    <w:rsid w:val="00395E6F"/>
    <w:rsid w:val="00395EDC"/>
    <w:rsid w:val="00395FB2"/>
    <w:rsid w:val="00396167"/>
    <w:rsid w:val="003966C2"/>
    <w:rsid w:val="00396B24"/>
    <w:rsid w:val="00396BC5"/>
    <w:rsid w:val="00396D50"/>
    <w:rsid w:val="003971D7"/>
    <w:rsid w:val="003A0493"/>
    <w:rsid w:val="003A1298"/>
    <w:rsid w:val="003A132C"/>
    <w:rsid w:val="003A1362"/>
    <w:rsid w:val="003A13E2"/>
    <w:rsid w:val="003A1882"/>
    <w:rsid w:val="003A215A"/>
    <w:rsid w:val="003A24FB"/>
    <w:rsid w:val="003A253A"/>
    <w:rsid w:val="003A26AF"/>
    <w:rsid w:val="003A2B43"/>
    <w:rsid w:val="003A2C8B"/>
    <w:rsid w:val="003A32F0"/>
    <w:rsid w:val="003A3D99"/>
    <w:rsid w:val="003A44CF"/>
    <w:rsid w:val="003A4936"/>
    <w:rsid w:val="003A49FB"/>
    <w:rsid w:val="003A4A1C"/>
    <w:rsid w:val="003A4C6D"/>
    <w:rsid w:val="003A5F82"/>
    <w:rsid w:val="003A6376"/>
    <w:rsid w:val="003A6403"/>
    <w:rsid w:val="003A6A7C"/>
    <w:rsid w:val="003A6B78"/>
    <w:rsid w:val="003A76E1"/>
    <w:rsid w:val="003A7835"/>
    <w:rsid w:val="003A7DE7"/>
    <w:rsid w:val="003B06DA"/>
    <w:rsid w:val="003B0931"/>
    <w:rsid w:val="003B0E0B"/>
    <w:rsid w:val="003B1521"/>
    <w:rsid w:val="003B28F7"/>
    <w:rsid w:val="003B2EC2"/>
    <w:rsid w:val="003B3119"/>
    <w:rsid w:val="003B3143"/>
    <w:rsid w:val="003B32CD"/>
    <w:rsid w:val="003B32E5"/>
    <w:rsid w:val="003B3B12"/>
    <w:rsid w:val="003B3EAC"/>
    <w:rsid w:val="003B405B"/>
    <w:rsid w:val="003B4385"/>
    <w:rsid w:val="003B462C"/>
    <w:rsid w:val="003B470C"/>
    <w:rsid w:val="003B47E1"/>
    <w:rsid w:val="003B4947"/>
    <w:rsid w:val="003B51D5"/>
    <w:rsid w:val="003B5865"/>
    <w:rsid w:val="003B599D"/>
    <w:rsid w:val="003B60A1"/>
    <w:rsid w:val="003B6188"/>
    <w:rsid w:val="003B6855"/>
    <w:rsid w:val="003B6B43"/>
    <w:rsid w:val="003B6D4C"/>
    <w:rsid w:val="003B768E"/>
    <w:rsid w:val="003B7BD4"/>
    <w:rsid w:val="003B7F86"/>
    <w:rsid w:val="003C0205"/>
    <w:rsid w:val="003C05B2"/>
    <w:rsid w:val="003C05FF"/>
    <w:rsid w:val="003C0957"/>
    <w:rsid w:val="003C0F54"/>
    <w:rsid w:val="003C0F7F"/>
    <w:rsid w:val="003C1301"/>
    <w:rsid w:val="003C15D8"/>
    <w:rsid w:val="003C1629"/>
    <w:rsid w:val="003C16A8"/>
    <w:rsid w:val="003C1883"/>
    <w:rsid w:val="003C1934"/>
    <w:rsid w:val="003C193D"/>
    <w:rsid w:val="003C1F3E"/>
    <w:rsid w:val="003C1F67"/>
    <w:rsid w:val="003C227F"/>
    <w:rsid w:val="003C298C"/>
    <w:rsid w:val="003C2B71"/>
    <w:rsid w:val="003C2FBF"/>
    <w:rsid w:val="003C2FE9"/>
    <w:rsid w:val="003C37D2"/>
    <w:rsid w:val="003C3934"/>
    <w:rsid w:val="003C3CA2"/>
    <w:rsid w:val="003C3E8C"/>
    <w:rsid w:val="003C3ED6"/>
    <w:rsid w:val="003C3F73"/>
    <w:rsid w:val="003C49D3"/>
    <w:rsid w:val="003C49E8"/>
    <w:rsid w:val="003C4B5B"/>
    <w:rsid w:val="003C4BDD"/>
    <w:rsid w:val="003C4CC6"/>
    <w:rsid w:val="003C550E"/>
    <w:rsid w:val="003C593F"/>
    <w:rsid w:val="003C59C8"/>
    <w:rsid w:val="003C5ADD"/>
    <w:rsid w:val="003C5E3B"/>
    <w:rsid w:val="003C6549"/>
    <w:rsid w:val="003C6867"/>
    <w:rsid w:val="003C6CF4"/>
    <w:rsid w:val="003C704D"/>
    <w:rsid w:val="003C7853"/>
    <w:rsid w:val="003C78C2"/>
    <w:rsid w:val="003C7D40"/>
    <w:rsid w:val="003C7F43"/>
    <w:rsid w:val="003D0714"/>
    <w:rsid w:val="003D099B"/>
    <w:rsid w:val="003D1FBD"/>
    <w:rsid w:val="003D27A0"/>
    <w:rsid w:val="003D2A81"/>
    <w:rsid w:val="003D2DA4"/>
    <w:rsid w:val="003D2E94"/>
    <w:rsid w:val="003D3109"/>
    <w:rsid w:val="003D3259"/>
    <w:rsid w:val="003D3C08"/>
    <w:rsid w:val="003D4376"/>
    <w:rsid w:val="003D4661"/>
    <w:rsid w:val="003D4795"/>
    <w:rsid w:val="003D4D58"/>
    <w:rsid w:val="003D5700"/>
    <w:rsid w:val="003D58BE"/>
    <w:rsid w:val="003D5AC1"/>
    <w:rsid w:val="003D5ACE"/>
    <w:rsid w:val="003D5D53"/>
    <w:rsid w:val="003D5E7D"/>
    <w:rsid w:val="003D5EE2"/>
    <w:rsid w:val="003D5F0C"/>
    <w:rsid w:val="003D631E"/>
    <w:rsid w:val="003D67A7"/>
    <w:rsid w:val="003D688D"/>
    <w:rsid w:val="003D6C89"/>
    <w:rsid w:val="003D6D71"/>
    <w:rsid w:val="003D6DE5"/>
    <w:rsid w:val="003E012C"/>
    <w:rsid w:val="003E0176"/>
    <w:rsid w:val="003E0212"/>
    <w:rsid w:val="003E068C"/>
    <w:rsid w:val="003E07FB"/>
    <w:rsid w:val="003E085C"/>
    <w:rsid w:val="003E0B33"/>
    <w:rsid w:val="003E15F1"/>
    <w:rsid w:val="003E2544"/>
    <w:rsid w:val="003E288E"/>
    <w:rsid w:val="003E2AB9"/>
    <w:rsid w:val="003E37A4"/>
    <w:rsid w:val="003E37AB"/>
    <w:rsid w:val="003E3EE2"/>
    <w:rsid w:val="003E4133"/>
    <w:rsid w:val="003E41F9"/>
    <w:rsid w:val="003E470C"/>
    <w:rsid w:val="003E4A36"/>
    <w:rsid w:val="003E506B"/>
    <w:rsid w:val="003E52E9"/>
    <w:rsid w:val="003E5766"/>
    <w:rsid w:val="003E58AF"/>
    <w:rsid w:val="003E5A14"/>
    <w:rsid w:val="003E5F3C"/>
    <w:rsid w:val="003E62C6"/>
    <w:rsid w:val="003E6563"/>
    <w:rsid w:val="003F0879"/>
    <w:rsid w:val="003F0C08"/>
    <w:rsid w:val="003F0E10"/>
    <w:rsid w:val="003F1249"/>
    <w:rsid w:val="003F1639"/>
    <w:rsid w:val="003F197B"/>
    <w:rsid w:val="003F1C2E"/>
    <w:rsid w:val="003F2D7A"/>
    <w:rsid w:val="003F3E04"/>
    <w:rsid w:val="003F401F"/>
    <w:rsid w:val="003F4560"/>
    <w:rsid w:val="003F46C6"/>
    <w:rsid w:val="003F4E54"/>
    <w:rsid w:val="003F532A"/>
    <w:rsid w:val="003F5854"/>
    <w:rsid w:val="003F5945"/>
    <w:rsid w:val="003F5F2D"/>
    <w:rsid w:val="003F6115"/>
    <w:rsid w:val="003F644A"/>
    <w:rsid w:val="003F6726"/>
    <w:rsid w:val="003F6BC3"/>
    <w:rsid w:val="003F6C26"/>
    <w:rsid w:val="003F6F2B"/>
    <w:rsid w:val="003F6F7F"/>
    <w:rsid w:val="003F7269"/>
    <w:rsid w:val="003F797C"/>
    <w:rsid w:val="003F7D68"/>
    <w:rsid w:val="003F7FE9"/>
    <w:rsid w:val="004006CC"/>
    <w:rsid w:val="004007D9"/>
    <w:rsid w:val="00400A42"/>
    <w:rsid w:val="00400E74"/>
    <w:rsid w:val="00400EB3"/>
    <w:rsid w:val="0040103F"/>
    <w:rsid w:val="0040195F"/>
    <w:rsid w:val="00401B98"/>
    <w:rsid w:val="00401BFE"/>
    <w:rsid w:val="004032CE"/>
    <w:rsid w:val="00403E2B"/>
    <w:rsid w:val="00403F72"/>
    <w:rsid w:val="0040422F"/>
    <w:rsid w:val="0040487B"/>
    <w:rsid w:val="00404C9C"/>
    <w:rsid w:val="00404CC1"/>
    <w:rsid w:val="0040524F"/>
    <w:rsid w:val="004053ED"/>
    <w:rsid w:val="00405752"/>
    <w:rsid w:val="00405A46"/>
    <w:rsid w:val="00405B88"/>
    <w:rsid w:val="00405F4D"/>
    <w:rsid w:val="0040603D"/>
    <w:rsid w:val="00406340"/>
    <w:rsid w:val="0040653B"/>
    <w:rsid w:val="00406966"/>
    <w:rsid w:val="004069B0"/>
    <w:rsid w:val="00406C11"/>
    <w:rsid w:val="00406CA4"/>
    <w:rsid w:val="00407445"/>
    <w:rsid w:val="00407B20"/>
    <w:rsid w:val="0041078F"/>
    <w:rsid w:val="00410A29"/>
    <w:rsid w:val="00410B4A"/>
    <w:rsid w:val="00410BFF"/>
    <w:rsid w:val="00411739"/>
    <w:rsid w:val="00411AEA"/>
    <w:rsid w:val="00412272"/>
    <w:rsid w:val="0041229B"/>
    <w:rsid w:val="0041253E"/>
    <w:rsid w:val="004125A6"/>
    <w:rsid w:val="00412B10"/>
    <w:rsid w:val="004132D3"/>
    <w:rsid w:val="0041372F"/>
    <w:rsid w:val="004138AF"/>
    <w:rsid w:val="00414406"/>
    <w:rsid w:val="004148B9"/>
    <w:rsid w:val="00414DC9"/>
    <w:rsid w:val="00415064"/>
    <w:rsid w:val="0041506B"/>
    <w:rsid w:val="00415150"/>
    <w:rsid w:val="0041528A"/>
    <w:rsid w:val="00415472"/>
    <w:rsid w:val="00415DB0"/>
    <w:rsid w:val="0041614C"/>
    <w:rsid w:val="00416172"/>
    <w:rsid w:val="00417012"/>
    <w:rsid w:val="004170BE"/>
    <w:rsid w:val="004178E3"/>
    <w:rsid w:val="00417F39"/>
    <w:rsid w:val="0042019A"/>
    <w:rsid w:val="004201CA"/>
    <w:rsid w:val="00420F40"/>
    <w:rsid w:val="00421377"/>
    <w:rsid w:val="00421B0A"/>
    <w:rsid w:val="00421E86"/>
    <w:rsid w:val="00422169"/>
    <w:rsid w:val="00422545"/>
    <w:rsid w:val="00422EA9"/>
    <w:rsid w:val="00422FDE"/>
    <w:rsid w:val="00423640"/>
    <w:rsid w:val="00423AA7"/>
    <w:rsid w:val="00423C2B"/>
    <w:rsid w:val="004240FA"/>
    <w:rsid w:val="0042453E"/>
    <w:rsid w:val="00424B87"/>
    <w:rsid w:val="00424D36"/>
    <w:rsid w:val="00425329"/>
    <w:rsid w:val="00425410"/>
    <w:rsid w:val="00425412"/>
    <w:rsid w:val="0042544C"/>
    <w:rsid w:val="00425BAC"/>
    <w:rsid w:val="00425FD6"/>
    <w:rsid w:val="0042611B"/>
    <w:rsid w:val="00426221"/>
    <w:rsid w:val="004262AC"/>
    <w:rsid w:val="004266C8"/>
    <w:rsid w:val="00426A00"/>
    <w:rsid w:val="00426A39"/>
    <w:rsid w:val="00426E5C"/>
    <w:rsid w:val="0042735B"/>
    <w:rsid w:val="004277B9"/>
    <w:rsid w:val="00427EC2"/>
    <w:rsid w:val="004300AC"/>
    <w:rsid w:val="004300C8"/>
    <w:rsid w:val="00431139"/>
    <w:rsid w:val="00431486"/>
    <w:rsid w:val="004323AC"/>
    <w:rsid w:val="00432D2D"/>
    <w:rsid w:val="00432E0B"/>
    <w:rsid w:val="0043513F"/>
    <w:rsid w:val="004352FC"/>
    <w:rsid w:val="00435A9F"/>
    <w:rsid w:val="00435BE4"/>
    <w:rsid w:val="00435F65"/>
    <w:rsid w:val="004369D0"/>
    <w:rsid w:val="00436B5F"/>
    <w:rsid w:val="00436C25"/>
    <w:rsid w:val="00436DF1"/>
    <w:rsid w:val="00436E43"/>
    <w:rsid w:val="0043731F"/>
    <w:rsid w:val="0043773E"/>
    <w:rsid w:val="004377DB"/>
    <w:rsid w:val="00437853"/>
    <w:rsid w:val="00437CFA"/>
    <w:rsid w:val="00440022"/>
    <w:rsid w:val="0044018B"/>
    <w:rsid w:val="0044027F"/>
    <w:rsid w:val="004407A7"/>
    <w:rsid w:val="00440D45"/>
    <w:rsid w:val="004418F0"/>
    <w:rsid w:val="00441B2A"/>
    <w:rsid w:val="00441D05"/>
    <w:rsid w:val="00442830"/>
    <w:rsid w:val="00443024"/>
    <w:rsid w:val="00443663"/>
    <w:rsid w:val="00443A0A"/>
    <w:rsid w:val="00444037"/>
    <w:rsid w:val="004440F7"/>
    <w:rsid w:val="004443B3"/>
    <w:rsid w:val="00444C60"/>
    <w:rsid w:val="00445CED"/>
    <w:rsid w:val="0044600D"/>
    <w:rsid w:val="004461BF"/>
    <w:rsid w:val="004468CE"/>
    <w:rsid w:val="00446A9C"/>
    <w:rsid w:val="00446C6C"/>
    <w:rsid w:val="00446E0E"/>
    <w:rsid w:val="00447281"/>
    <w:rsid w:val="00447ED4"/>
    <w:rsid w:val="00450489"/>
    <w:rsid w:val="0045084A"/>
    <w:rsid w:val="00450EB5"/>
    <w:rsid w:val="004512E6"/>
    <w:rsid w:val="00451657"/>
    <w:rsid w:val="004516A8"/>
    <w:rsid w:val="00451762"/>
    <w:rsid w:val="0045179B"/>
    <w:rsid w:val="00451D6B"/>
    <w:rsid w:val="0045201D"/>
    <w:rsid w:val="0045215D"/>
    <w:rsid w:val="00452170"/>
    <w:rsid w:val="004523B2"/>
    <w:rsid w:val="004524C0"/>
    <w:rsid w:val="0045256E"/>
    <w:rsid w:val="004528D0"/>
    <w:rsid w:val="00452A35"/>
    <w:rsid w:val="00452E8E"/>
    <w:rsid w:val="0045318B"/>
    <w:rsid w:val="0045343A"/>
    <w:rsid w:val="00453610"/>
    <w:rsid w:val="004538EB"/>
    <w:rsid w:val="004539E6"/>
    <w:rsid w:val="00453AEC"/>
    <w:rsid w:val="00453E01"/>
    <w:rsid w:val="00453F66"/>
    <w:rsid w:val="00454A5F"/>
    <w:rsid w:val="00454E80"/>
    <w:rsid w:val="004562A8"/>
    <w:rsid w:val="00456E32"/>
    <w:rsid w:val="00457107"/>
    <w:rsid w:val="00457189"/>
    <w:rsid w:val="004605BE"/>
    <w:rsid w:val="004605C3"/>
    <w:rsid w:val="00460CBC"/>
    <w:rsid w:val="00460D7F"/>
    <w:rsid w:val="00461075"/>
    <w:rsid w:val="004610A7"/>
    <w:rsid w:val="00461328"/>
    <w:rsid w:val="004613ED"/>
    <w:rsid w:val="004613F7"/>
    <w:rsid w:val="00461477"/>
    <w:rsid w:val="00461617"/>
    <w:rsid w:val="00461A18"/>
    <w:rsid w:val="00461B34"/>
    <w:rsid w:val="00461BD5"/>
    <w:rsid w:val="00461C8F"/>
    <w:rsid w:val="00461F33"/>
    <w:rsid w:val="0046209B"/>
    <w:rsid w:val="00462104"/>
    <w:rsid w:val="00462211"/>
    <w:rsid w:val="00462691"/>
    <w:rsid w:val="00462A3B"/>
    <w:rsid w:val="00462CB8"/>
    <w:rsid w:val="00462D39"/>
    <w:rsid w:val="00462F67"/>
    <w:rsid w:val="00462FF9"/>
    <w:rsid w:val="00463443"/>
    <w:rsid w:val="0046345B"/>
    <w:rsid w:val="00463562"/>
    <w:rsid w:val="0046402C"/>
    <w:rsid w:val="00464146"/>
    <w:rsid w:val="00464C5B"/>
    <w:rsid w:val="004660CE"/>
    <w:rsid w:val="004661F6"/>
    <w:rsid w:val="0046634B"/>
    <w:rsid w:val="00466609"/>
    <w:rsid w:val="00466924"/>
    <w:rsid w:val="00466AAB"/>
    <w:rsid w:val="00466FC3"/>
    <w:rsid w:val="00467464"/>
    <w:rsid w:val="004676BF"/>
    <w:rsid w:val="00467CB5"/>
    <w:rsid w:val="004703F8"/>
    <w:rsid w:val="00470438"/>
    <w:rsid w:val="004705E8"/>
    <w:rsid w:val="0047078D"/>
    <w:rsid w:val="00470CC9"/>
    <w:rsid w:val="00470FD8"/>
    <w:rsid w:val="004712BE"/>
    <w:rsid w:val="004717ED"/>
    <w:rsid w:val="00471932"/>
    <w:rsid w:val="0047236A"/>
    <w:rsid w:val="004724C2"/>
    <w:rsid w:val="00472AEC"/>
    <w:rsid w:val="004730F4"/>
    <w:rsid w:val="00473D7D"/>
    <w:rsid w:val="00474432"/>
    <w:rsid w:val="00474DEE"/>
    <w:rsid w:val="00475898"/>
    <w:rsid w:val="00475AE4"/>
    <w:rsid w:val="00475D9E"/>
    <w:rsid w:val="00476143"/>
    <w:rsid w:val="00476241"/>
    <w:rsid w:val="0047689E"/>
    <w:rsid w:val="00476B75"/>
    <w:rsid w:val="00476DCF"/>
    <w:rsid w:val="00476E36"/>
    <w:rsid w:val="0047721A"/>
    <w:rsid w:val="00477630"/>
    <w:rsid w:val="004778B5"/>
    <w:rsid w:val="00477948"/>
    <w:rsid w:val="00477F42"/>
    <w:rsid w:val="00480E60"/>
    <w:rsid w:val="004812AE"/>
    <w:rsid w:val="0048188B"/>
    <w:rsid w:val="00481C8D"/>
    <w:rsid w:val="00481CCB"/>
    <w:rsid w:val="00481FAF"/>
    <w:rsid w:val="00482782"/>
    <w:rsid w:val="004830A6"/>
    <w:rsid w:val="00483B01"/>
    <w:rsid w:val="004848C6"/>
    <w:rsid w:val="004848E0"/>
    <w:rsid w:val="00484EAC"/>
    <w:rsid w:val="00485213"/>
    <w:rsid w:val="00485256"/>
    <w:rsid w:val="004856F2"/>
    <w:rsid w:val="00485E80"/>
    <w:rsid w:val="00486D24"/>
    <w:rsid w:val="00486DD6"/>
    <w:rsid w:val="00486F71"/>
    <w:rsid w:val="004873F5"/>
    <w:rsid w:val="004874BD"/>
    <w:rsid w:val="00487930"/>
    <w:rsid w:val="00487D99"/>
    <w:rsid w:val="0049010C"/>
    <w:rsid w:val="004909E8"/>
    <w:rsid w:val="00490B16"/>
    <w:rsid w:val="00490C5A"/>
    <w:rsid w:val="004915D3"/>
    <w:rsid w:val="00491601"/>
    <w:rsid w:val="004917F0"/>
    <w:rsid w:val="00491FD1"/>
    <w:rsid w:val="00492066"/>
    <w:rsid w:val="00492152"/>
    <w:rsid w:val="00492345"/>
    <w:rsid w:val="004924E6"/>
    <w:rsid w:val="0049278A"/>
    <w:rsid w:val="004931B2"/>
    <w:rsid w:val="004932C9"/>
    <w:rsid w:val="00493A42"/>
    <w:rsid w:val="00494918"/>
    <w:rsid w:val="00494E06"/>
    <w:rsid w:val="00495195"/>
    <w:rsid w:val="004953EF"/>
    <w:rsid w:val="00496698"/>
    <w:rsid w:val="0049686E"/>
    <w:rsid w:val="00496A08"/>
    <w:rsid w:val="00496D8F"/>
    <w:rsid w:val="00497719"/>
    <w:rsid w:val="004978DB"/>
    <w:rsid w:val="0049795C"/>
    <w:rsid w:val="00497AE0"/>
    <w:rsid w:val="004A0296"/>
    <w:rsid w:val="004A046E"/>
    <w:rsid w:val="004A0596"/>
    <w:rsid w:val="004A0895"/>
    <w:rsid w:val="004A0E65"/>
    <w:rsid w:val="004A224C"/>
    <w:rsid w:val="004A2667"/>
    <w:rsid w:val="004A311D"/>
    <w:rsid w:val="004A3137"/>
    <w:rsid w:val="004A3168"/>
    <w:rsid w:val="004A3171"/>
    <w:rsid w:val="004A3A90"/>
    <w:rsid w:val="004A4205"/>
    <w:rsid w:val="004A470B"/>
    <w:rsid w:val="004A4AFB"/>
    <w:rsid w:val="004A4B9F"/>
    <w:rsid w:val="004A54E0"/>
    <w:rsid w:val="004A5760"/>
    <w:rsid w:val="004A5ABE"/>
    <w:rsid w:val="004A5C09"/>
    <w:rsid w:val="004A6EFB"/>
    <w:rsid w:val="004A7023"/>
    <w:rsid w:val="004A737C"/>
    <w:rsid w:val="004A7BD4"/>
    <w:rsid w:val="004B022A"/>
    <w:rsid w:val="004B071F"/>
    <w:rsid w:val="004B0743"/>
    <w:rsid w:val="004B0A35"/>
    <w:rsid w:val="004B0C4B"/>
    <w:rsid w:val="004B120A"/>
    <w:rsid w:val="004B138F"/>
    <w:rsid w:val="004B172F"/>
    <w:rsid w:val="004B1DE3"/>
    <w:rsid w:val="004B206C"/>
    <w:rsid w:val="004B2539"/>
    <w:rsid w:val="004B267E"/>
    <w:rsid w:val="004B28D1"/>
    <w:rsid w:val="004B2B09"/>
    <w:rsid w:val="004B41DE"/>
    <w:rsid w:val="004B45C7"/>
    <w:rsid w:val="004B46F1"/>
    <w:rsid w:val="004B4A0B"/>
    <w:rsid w:val="004B515C"/>
    <w:rsid w:val="004B5265"/>
    <w:rsid w:val="004B5296"/>
    <w:rsid w:val="004B53DE"/>
    <w:rsid w:val="004B55D9"/>
    <w:rsid w:val="004B5E60"/>
    <w:rsid w:val="004B5FFD"/>
    <w:rsid w:val="004B62DC"/>
    <w:rsid w:val="004B679F"/>
    <w:rsid w:val="004B67AB"/>
    <w:rsid w:val="004B687D"/>
    <w:rsid w:val="004B689F"/>
    <w:rsid w:val="004B6C50"/>
    <w:rsid w:val="004B6F6A"/>
    <w:rsid w:val="004B753F"/>
    <w:rsid w:val="004B7FBD"/>
    <w:rsid w:val="004C06DF"/>
    <w:rsid w:val="004C0B7C"/>
    <w:rsid w:val="004C0D9D"/>
    <w:rsid w:val="004C0DC7"/>
    <w:rsid w:val="004C114F"/>
    <w:rsid w:val="004C152E"/>
    <w:rsid w:val="004C1F95"/>
    <w:rsid w:val="004C249C"/>
    <w:rsid w:val="004C2771"/>
    <w:rsid w:val="004C2A77"/>
    <w:rsid w:val="004C2F5F"/>
    <w:rsid w:val="004C38BF"/>
    <w:rsid w:val="004C3AF5"/>
    <w:rsid w:val="004C3CDE"/>
    <w:rsid w:val="004C3F4C"/>
    <w:rsid w:val="004C405B"/>
    <w:rsid w:val="004C4723"/>
    <w:rsid w:val="004C4EE4"/>
    <w:rsid w:val="004C4FEF"/>
    <w:rsid w:val="004C5258"/>
    <w:rsid w:val="004C5D21"/>
    <w:rsid w:val="004C5E83"/>
    <w:rsid w:val="004C5F28"/>
    <w:rsid w:val="004C6237"/>
    <w:rsid w:val="004C6286"/>
    <w:rsid w:val="004C6B21"/>
    <w:rsid w:val="004C70C3"/>
    <w:rsid w:val="004C7654"/>
    <w:rsid w:val="004C7DD3"/>
    <w:rsid w:val="004D0980"/>
    <w:rsid w:val="004D1154"/>
    <w:rsid w:val="004D174C"/>
    <w:rsid w:val="004D1B2D"/>
    <w:rsid w:val="004D1FAB"/>
    <w:rsid w:val="004D2B73"/>
    <w:rsid w:val="004D3271"/>
    <w:rsid w:val="004D3A5B"/>
    <w:rsid w:val="004D4D0F"/>
    <w:rsid w:val="004D4E44"/>
    <w:rsid w:val="004D57A5"/>
    <w:rsid w:val="004D5F05"/>
    <w:rsid w:val="004D5F49"/>
    <w:rsid w:val="004D656D"/>
    <w:rsid w:val="004D71DC"/>
    <w:rsid w:val="004D736F"/>
    <w:rsid w:val="004E01DA"/>
    <w:rsid w:val="004E03A3"/>
    <w:rsid w:val="004E03F1"/>
    <w:rsid w:val="004E0DC9"/>
    <w:rsid w:val="004E11A5"/>
    <w:rsid w:val="004E1701"/>
    <w:rsid w:val="004E1A62"/>
    <w:rsid w:val="004E2D96"/>
    <w:rsid w:val="004E3072"/>
    <w:rsid w:val="004E3B50"/>
    <w:rsid w:val="004E3E31"/>
    <w:rsid w:val="004E3EA2"/>
    <w:rsid w:val="004E4066"/>
    <w:rsid w:val="004E4564"/>
    <w:rsid w:val="004E4B1F"/>
    <w:rsid w:val="004E4E29"/>
    <w:rsid w:val="004E52D7"/>
    <w:rsid w:val="004E5BD7"/>
    <w:rsid w:val="004E5D42"/>
    <w:rsid w:val="004E6117"/>
    <w:rsid w:val="004E666A"/>
    <w:rsid w:val="004E6AE9"/>
    <w:rsid w:val="004E7732"/>
    <w:rsid w:val="004F0061"/>
    <w:rsid w:val="004F015D"/>
    <w:rsid w:val="004F07BD"/>
    <w:rsid w:val="004F109B"/>
    <w:rsid w:val="004F114C"/>
    <w:rsid w:val="004F1418"/>
    <w:rsid w:val="004F14D1"/>
    <w:rsid w:val="004F15A3"/>
    <w:rsid w:val="004F1C7B"/>
    <w:rsid w:val="004F1F92"/>
    <w:rsid w:val="004F206C"/>
    <w:rsid w:val="004F22E1"/>
    <w:rsid w:val="004F2A76"/>
    <w:rsid w:val="004F2CF9"/>
    <w:rsid w:val="004F30CE"/>
    <w:rsid w:val="004F30F7"/>
    <w:rsid w:val="004F3439"/>
    <w:rsid w:val="004F37CB"/>
    <w:rsid w:val="004F38F0"/>
    <w:rsid w:val="004F3AAD"/>
    <w:rsid w:val="004F4543"/>
    <w:rsid w:val="004F45E5"/>
    <w:rsid w:val="004F4AFC"/>
    <w:rsid w:val="004F50B2"/>
    <w:rsid w:val="004F543D"/>
    <w:rsid w:val="004F55D9"/>
    <w:rsid w:val="004F5805"/>
    <w:rsid w:val="004F5B7F"/>
    <w:rsid w:val="004F5FED"/>
    <w:rsid w:val="004F60C6"/>
    <w:rsid w:val="004F63BE"/>
    <w:rsid w:val="004F66C8"/>
    <w:rsid w:val="004F6806"/>
    <w:rsid w:val="004F6A1A"/>
    <w:rsid w:val="004F6E3A"/>
    <w:rsid w:val="004F6F66"/>
    <w:rsid w:val="004F714D"/>
    <w:rsid w:val="004F714F"/>
    <w:rsid w:val="004F7613"/>
    <w:rsid w:val="004F7641"/>
    <w:rsid w:val="004F77C1"/>
    <w:rsid w:val="004F78F2"/>
    <w:rsid w:val="004F7DA0"/>
    <w:rsid w:val="005002B0"/>
    <w:rsid w:val="005004FC"/>
    <w:rsid w:val="00500B92"/>
    <w:rsid w:val="00500CDD"/>
    <w:rsid w:val="005011CA"/>
    <w:rsid w:val="0050161F"/>
    <w:rsid w:val="0050181E"/>
    <w:rsid w:val="005019DC"/>
    <w:rsid w:val="00501FA7"/>
    <w:rsid w:val="005026C4"/>
    <w:rsid w:val="00503067"/>
    <w:rsid w:val="005034B6"/>
    <w:rsid w:val="005034EA"/>
    <w:rsid w:val="005035FB"/>
    <w:rsid w:val="00503782"/>
    <w:rsid w:val="00503A7C"/>
    <w:rsid w:val="005053B4"/>
    <w:rsid w:val="005055BA"/>
    <w:rsid w:val="0050617C"/>
    <w:rsid w:val="0050645A"/>
    <w:rsid w:val="005064A6"/>
    <w:rsid w:val="005067B7"/>
    <w:rsid w:val="00506E57"/>
    <w:rsid w:val="0050736E"/>
    <w:rsid w:val="00507C96"/>
    <w:rsid w:val="00507D12"/>
    <w:rsid w:val="00507D75"/>
    <w:rsid w:val="00510490"/>
    <w:rsid w:val="005104BE"/>
    <w:rsid w:val="005107A6"/>
    <w:rsid w:val="00510A70"/>
    <w:rsid w:val="00510B41"/>
    <w:rsid w:val="00511525"/>
    <w:rsid w:val="0051185A"/>
    <w:rsid w:val="00512493"/>
    <w:rsid w:val="005126F6"/>
    <w:rsid w:val="005127E4"/>
    <w:rsid w:val="00512CEE"/>
    <w:rsid w:val="00512EAC"/>
    <w:rsid w:val="0051348D"/>
    <w:rsid w:val="00513E07"/>
    <w:rsid w:val="00515077"/>
    <w:rsid w:val="005150C5"/>
    <w:rsid w:val="0051545F"/>
    <w:rsid w:val="00515696"/>
    <w:rsid w:val="00515ABD"/>
    <w:rsid w:val="00515B96"/>
    <w:rsid w:val="00515C44"/>
    <w:rsid w:val="00515D08"/>
    <w:rsid w:val="00515DE6"/>
    <w:rsid w:val="00515E37"/>
    <w:rsid w:val="0051604B"/>
    <w:rsid w:val="005163AB"/>
    <w:rsid w:val="00516DCB"/>
    <w:rsid w:val="0052054B"/>
    <w:rsid w:val="0052064A"/>
    <w:rsid w:val="00520C27"/>
    <w:rsid w:val="005210A9"/>
    <w:rsid w:val="00521AC9"/>
    <w:rsid w:val="00521C7C"/>
    <w:rsid w:val="00521D00"/>
    <w:rsid w:val="00521D44"/>
    <w:rsid w:val="00521E52"/>
    <w:rsid w:val="00521FA7"/>
    <w:rsid w:val="00522113"/>
    <w:rsid w:val="0052217E"/>
    <w:rsid w:val="005227A5"/>
    <w:rsid w:val="00522A43"/>
    <w:rsid w:val="00522BB1"/>
    <w:rsid w:val="00522C9C"/>
    <w:rsid w:val="005233EE"/>
    <w:rsid w:val="0052370E"/>
    <w:rsid w:val="00523CEE"/>
    <w:rsid w:val="00523E51"/>
    <w:rsid w:val="00524C87"/>
    <w:rsid w:val="00524E6F"/>
    <w:rsid w:val="00524EA7"/>
    <w:rsid w:val="00525005"/>
    <w:rsid w:val="0052557F"/>
    <w:rsid w:val="00525708"/>
    <w:rsid w:val="005258B9"/>
    <w:rsid w:val="005258CA"/>
    <w:rsid w:val="00525E33"/>
    <w:rsid w:val="005262DF"/>
    <w:rsid w:val="0052698D"/>
    <w:rsid w:val="00526B5F"/>
    <w:rsid w:val="00526E33"/>
    <w:rsid w:val="00527578"/>
    <w:rsid w:val="005277C7"/>
    <w:rsid w:val="00527BAA"/>
    <w:rsid w:val="00527C13"/>
    <w:rsid w:val="00527DC9"/>
    <w:rsid w:val="00527DCC"/>
    <w:rsid w:val="00527DEA"/>
    <w:rsid w:val="0053096C"/>
    <w:rsid w:val="00531B80"/>
    <w:rsid w:val="00531C70"/>
    <w:rsid w:val="00531FE7"/>
    <w:rsid w:val="005324A4"/>
    <w:rsid w:val="00532C1B"/>
    <w:rsid w:val="005335E6"/>
    <w:rsid w:val="00533B4F"/>
    <w:rsid w:val="00533D13"/>
    <w:rsid w:val="00534119"/>
    <w:rsid w:val="0053415C"/>
    <w:rsid w:val="005346F3"/>
    <w:rsid w:val="00534918"/>
    <w:rsid w:val="00534988"/>
    <w:rsid w:val="00534E05"/>
    <w:rsid w:val="00534EB8"/>
    <w:rsid w:val="005358C9"/>
    <w:rsid w:val="00535918"/>
    <w:rsid w:val="00536C4D"/>
    <w:rsid w:val="00537967"/>
    <w:rsid w:val="00537A31"/>
    <w:rsid w:val="00537DA6"/>
    <w:rsid w:val="005400C2"/>
    <w:rsid w:val="005401AE"/>
    <w:rsid w:val="0054076A"/>
    <w:rsid w:val="005408D0"/>
    <w:rsid w:val="00540C04"/>
    <w:rsid w:val="00540F57"/>
    <w:rsid w:val="005410F4"/>
    <w:rsid w:val="00541B12"/>
    <w:rsid w:val="00541E53"/>
    <w:rsid w:val="00542906"/>
    <w:rsid w:val="0054292A"/>
    <w:rsid w:val="00542A4D"/>
    <w:rsid w:val="0054315C"/>
    <w:rsid w:val="00543ACD"/>
    <w:rsid w:val="005447C6"/>
    <w:rsid w:val="0054518C"/>
    <w:rsid w:val="0054522F"/>
    <w:rsid w:val="005457E0"/>
    <w:rsid w:val="00545E7F"/>
    <w:rsid w:val="00545F2C"/>
    <w:rsid w:val="0054609C"/>
    <w:rsid w:val="00546175"/>
    <w:rsid w:val="00546531"/>
    <w:rsid w:val="005468BE"/>
    <w:rsid w:val="00546D44"/>
    <w:rsid w:val="00547FF7"/>
    <w:rsid w:val="0055098E"/>
    <w:rsid w:val="00551267"/>
    <w:rsid w:val="005517C9"/>
    <w:rsid w:val="00551BA9"/>
    <w:rsid w:val="00551C54"/>
    <w:rsid w:val="005520FD"/>
    <w:rsid w:val="00552800"/>
    <w:rsid w:val="00552F9D"/>
    <w:rsid w:val="00553C1C"/>
    <w:rsid w:val="00554305"/>
    <w:rsid w:val="00554A9A"/>
    <w:rsid w:val="00554F0A"/>
    <w:rsid w:val="00554F7B"/>
    <w:rsid w:val="005556B3"/>
    <w:rsid w:val="00555B83"/>
    <w:rsid w:val="00555C74"/>
    <w:rsid w:val="00556026"/>
    <w:rsid w:val="005563FB"/>
    <w:rsid w:val="0055654D"/>
    <w:rsid w:val="005568CB"/>
    <w:rsid w:val="00557473"/>
    <w:rsid w:val="00557481"/>
    <w:rsid w:val="00557B93"/>
    <w:rsid w:val="0056093C"/>
    <w:rsid w:val="00560B90"/>
    <w:rsid w:val="00560C72"/>
    <w:rsid w:val="00560C78"/>
    <w:rsid w:val="00560F5C"/>
    <w:rsid w:val="00561642"/>
    <w:rsid w:val="00561EDD"/>
    <w:rsid w:val="00561EFD"/>
    <w:rsid w:val="00562184"/>
    <w:rsid w:val="005626A3"/>
    <w:rsid w:val="0056276A"/>
    <w:rsid w:val="005629AE"/>
    <w:rsid w:val="00562F59"/>
    <w:rsid w:val="00562FCF"/>
    <w:rsid w:val="00562FE2"/>
    <w:rsid w:val="005632A4"/>
    <w:rsid w:val="005633D0"/>
    <w:rsid w:val="00563BDE"/>
    <w:rsid w:val="00563C2B"/>
    <w:rsid w:val="0056437B"/>
    <w:rsid w:val="00564641"/>
    <w:rsid w:val="0056482A"/>
    <w:rsid w:val="00564CB5"/>
    <w:rsid w:val="005650E6"/>
    <w:rsid w:val="005658BD"/>
    <w:rsid w:val="00565DA7"/>
    <w:rsid w:val="00565E70"/>
    <w:rsid w:val="00566710"/>
    <w:rsid w:val="00566B6A"/>
    <w:rsid w:val="00566D56"/>
    <w:rsid w:val="005675BD"/>
    <w:rsid w:val="00567786"/>
    <w:rsid w:val="00567953"/>
    <w:rsid w:val="005679AF"/>
    <w:rsid w:val="0057004C"/>
    <w:rsid w:val="00570107"/>
    <w:rsid w:val="0057018F"/>
    <w:rsid w:val="005702E8"/>
    <w:rsid w:val="00570862"/>
    <w:rsid w:val="0057090B"/>
    <w:rsid w:val="00571253"/>
    <w:rsid w:val="005712FE"/>
    <w:rsid w:val="00571415"/>
    <w:rsid w:val="0057217A"/>
    <w:rsid w:val="0057223B"/>
    <w:rsid w:val="005724A5"/>
    <w:rsid w:val="0057281F"/>
    <w:rsid w:val="00572B11"/>
    <w:rsid w:val="00572FD6"/>
    <w:rsid w:val="00573000"/>
    <w:rsid w:val="0057304D"/>
    <w:rsid w:val="005730A5"/>
    <w:rsid w:val="005732F2"/>
    <w:rsid w:val="0057334F"/>
    <w:rsid w:val="005734ED"/>
    <w:rsid w:val="005737E5"/>
    <w:rsid w:val="00573FE7"/>
    <w:rsid w:val="00574056"/>
    <w:rsid w:val="005748C1"/>
    <w:rsid w:val="00574D63"/>
    <w:rsid w:val="00574DF0"/>
    <w:rsid w:val="005751FB"/>
    <w:rsid w:val="00575225"/>
    <w:rsid w:val="005754B8"/>
    <w:rsid w:val="00576BBB"/>
    <w:rsid w:val="00576CA1"/>
    <w:rsid w:val="00576D1E"/>
    <w:rsid w:val="005774B6"/>
    <w:rsid w:val="00577511"/>
    <w:rsid w:val="005775CA"/>
    <w:rsid w:val="005779B4"/>
    <w:rsid w:val="00577AF2"/>
    <w:rsid w:val="00577FC7"/>
    <w:rsid w:val="00580369"/>
    <w:rsid w:val="00580372"/>
    <w:rsid w:val="005812BB"/>
    <w:rsid w:val="00581375"/>
    <w:rsid w:val="005814BC"/>
    <w:rsid w:val="00581591"/>
    <w:rsid w:val="005816A0"/>
    <w:rsid w:val="00581952"/>
    <w:rsid w:val="005825D2"/>
    <w:rsid w:val="005825E5"/>
    <w:rsid w:val="0058262D"/>
    <w:rsid w:val="0058298A"/>
    <w:rsid w:val="00582FED"/>
    <w:rsid w:val="00583047"/>
    <w:rsid w:val="00583061"/>
    <w:rsid w:val="0058307F"/>
    <w:rsid w:val="0058360B"/>
    <w:rsid w:val="0058369F"/>
    <w:rsid w:val="00583921"/>
    <w:rsid w:val="005839B4"/>
    <w:rsid w:val="0058419F"/>
    <w:rsid w:val="005844AB"/>
    <w:rsid w:val="005845B0"/>
    <w:rsid w:val="005849F0"/>
    <w:rsid w:val="00584FE6"/>
    <w:rsid w:val="00585769"/>
    <w:rsid w:val="005858C4"/>
    <w:rsid w:val="00587581"/>
    <w:rsid w:val="005876A8"/>
    <w:rsid w:val="0058786E"/>
    <w:rsid w:val="00587C33"/>
    <w:rsid w:val="00587F6C"/>
    <w:rsid w:val="0059022F"/>
    <w:rsid w:val="0059027E"/>
    <w:rsid w:val="005904EC"/>
    <w:rsid w:val="005907EC"/>
    <w:rsid w:val="00591578"/>
    <w:rsid w:val="005917C8"/>
    <w:rsid w:val="00592489"/>
    <w:rsid w:val="00592AA4"/>
    <w:rsid w:val="00592D9D"/>
    <w:rsid w:val="00593073"/>
    <w:rsid w:val="0059437C"/>
    <w:rsid w:val="005944A2"/>
    <w:rsid w:val="0059473D"/>
    <w:rsid w:val="00594AEA"/>
    <w:rsid w:val="005958B3"/>
    <w:rsid w:val="005959D7"/>
    <w:rsid w:val="00595BF8"/>
    <w:rsid w:val="00595C7D"/>
    <w:rsid w:val="00595D65"/>
    <w:rsid w:val="0059637F"/>
    <w:rsid w:val="005965AE"/>
    <w:rsid w:val="00596756"/>
    <w:rsid w:val="00596C39"/>
    <w:rsid w:val="00597BE6"/>
    <w:rsid w:val="00597DCD"/>
    <w:rsid w:val="005A00A4"/>
    <w:rsid w:val="005A023F"/>
    <w:rsid w:val="005A083E"/>
    <w:rsid w:val="005A084E"/>
    <w:rsid w:val="005A1204"/>
    <w:rsid w:val="005A1CE3"/>
    <w:rsid w:val="005A244C"/>
    <w:rsid w:val="005A2D00"/>
    <w:rsid w:val="005A35B2"/>
    <w:rsid w:val="005A36B0"/>
    <w:rsid w:val="005A3B5D"/>
    <w:rsid w:val="005A4168"/>
    <w:rsid w:val="005A4904"/>
    <w:rsid w:val="005A4E4D"/>
    <w:rsid w:val="005A532E"/>
    <w:rsid w:val="005A536C"/>
    <w:rsid w:val="005A56EB"/>
    <w:rsid w:val="005A5846"/>
    <w:rsid w:val="005A5888"/>
    <w:rsid w:val="005A6321"/>
    <w:rsid w:val="005A66A6"/>
    <w:rsid w:val="005A67D8"/>
    <w:rsid w:val="005A6E67"/>
    <w:rsid w:val="005A7060"/>
    <w:rsid w:val="005B0850"/>
    <w:rsid w:val="005B0BB7"/>
    <w:rsid w:val="005B120D"/>
    <w:rsid w:val="005B153D"/>
    <w:rsid w:val="005B1BEF"/>
    <w:rsid w:val="005B2C13"/>
    <w:rsid w:val="005B2D0A"/>
    <w:rsid w:val="005B31A1"/>
    <w:rsid w:val="005B31D0"/>
    <w:rsid w:val="005B3520"/>
    <w:rsid w:val="005B3578"/>
    <w:rsid w:val="005B3658"/>
    <w:rsid w:val="005B37FB"/>
    <w:rsid w:val="005B429D"/>
    <w:rsid w:val="005B42E4"/>
    <w:rsid w:val="005B4E70"/>
    <w:rsid w:val="005B565C"/>
    <w:rsid w:val="005B5832"/>
    <w:rsid w:val="005B585C"/>
    <w:rsid w:val="005B58B8"/>
    <w:rsid w:val="005B58FF"/>
    <w:rsid w:val="005B593F"/>
    <w:rsid w:val="005B5B13"/>
    <w:rsid w:val="005B6CC6"/>
    <w:rsid w:val="005B6D3B"/>
    <w:rsid w:val="005B7A62"/>
    <w:rsid w:val="005B7E1A"/>
    <w:rsid w:val="005C09C2"/>
    <w:rsid w:val="005C0FD2"/>
    <w:rsid w:val="005C168E"/>
    <w:rsid w:val="005C17D0"/>
    <w:rsid w:val="005C1E61"/>
    <w:rsid w:val="005C207B"/>
    <w:rsid w:val="005C27AF"/>
    <w:rsid w:val="005C2AB1"/>
    <w:rsid w:val="005C3890"/>
    <w:rsid w:val="005C3931"/>
    <w:rsid w:val="005C3BFF"/>
    <w:rsid w:val="005C4272"/>
    <w:rsid w:val="005C431B"/>
    <w:rsid w:val="005C4905"/>
    <w:rsid w:val="005C5301"/>
    <w:rsid w:val="005C6419"/>
    <w:rsid w:val="005C64A9"/>
    <w:rsid w:val="005C69EB"/>
    <w:rsid w:val="005C6AA4"/>
    <w:rsid w:val="005C75E9"/>
    <w:rsid w:val="005C7A75"/>
    <w:rsid w:val="005C7DBD"/>
    <w:rsid w:val="005D03FD"/>
    <w:rsid w:val="005D1D60"/>
    <w:rsid w:val="005D20FC"/>
    <w:rsid w:val="005D213A"/>
    <w:rsid w:val="005D2ED9"/>
    <w:rsid w:val="005D2FE9"/>
    <w:rsid w:val="005D33CD"/>
    <w:rsid w:val="005D33F0"/>
    <w:rsid w:val="005D3583"/>
    <w:rsid w:val="005D36CF"/>
    <w:rsid w:val="005D372A"/>
    <w:rsid w:val="005D3762"/>
    <w:rsid w:val="005D3898"/>
    <w:rsid w:val="005D3F0C"/>
    <w:rsid w:val="005D4B39"/>
    <w:rsid w:val="005D4E1B"/>
    <w:rsid w:val="005D57B0"/>
    <w:rsid w:val="005D59F8"/>
    <w:rsid w:val="005D5BEE"/>
    <w:rsid w:val="005D609F"/>
    <w:rsid w:val="005D61F6"/>
    <w:rsid w:val="005D6577"/>
    <w:rsid w:val="005D76A7"/>
    <w:rsid w:val="005E06BF"/>
    <w:rsid w:val="005E0719"/>
    <w:rsid w:val="005E0B2D"/>
    <w:rsid w:val="005E0BE2"/>
    <w:rsid w:val="005E0D0B"/>
    <w:rsid w:val="005E0FB9"/>
    <w:rsid w:val="005E11EB"/>
    <w:rsid w:val="005E1206"/>
    <w:rsid w:val="005E13E3"/>
    <w:rsid w:val="005E14F2"/>
    <w:rsid w:val="005E166B"/>
    <w:rsid w:val="005E1D97"/>
    <w:rsid w:val="005E236A"/>
    <w:rsid w:val="005E239D"/>
    <w:rsid w:val="005E2799"/>
    <w:rsid w:val="005E27B8"/>
    <w:rsid w:val="005E2963"/>
    <w:rsid w:val="005E2E11"/>
    <w:rsid w:val="005E3134"/>
    <w:rsid w:val="005E4200"/>
    <w:rsid w:val="005E4C34"/>
    <w:rsid w:val="005E4F54"/>
    <w:rsid w:val="005E53EE"/>
    <w:rsid w:val="005E557C"/>
    <w:rsid w:val="005E5F6D"/>
    <w:rsid w:val="005E5FDC"/>
    <w:rsid w:val="005E6A26"/>
    <w:rsid w:val="005E6C28"/>
    <w:rsid w:val="005E6F50"/>
    <w:rsid w:val="005E71A3"/>
    <w:rsid w:val="005E7469"/>
    <w:rsid w:val="005E7F2A"/>
    <w:rsid w:val="005F145E"/>
    <w:rsid w:val="005F1549"/>
    <w:rsid w:val="005F19EF"/>
    <w:rsid w:val="005F1FE5"/>
    <w:rsid w:val="005F2337"/>
    <w:rsid w:val="005F2638"/>
    <w:rsid w:val="005F27EF"/>
    <w:rsid w:val="005F2DF9"/>
    <w:rsid w:val="005F3CB3"/>
    <w:rsid w:val="005F4243"/>
    <w:rsid w:val="005F54B7"/>
    <w:rsid w:val="005F570B"/>
    <w:rsid w:val="005F5EF9"/>
    <w:rsid w:val="005F62EA"/>
    <w:rsid w:val="005F69AC"/>
    <w:rsid w:val="005F7B98"/>
    <w:rsid w:val="0060010C"/>
    <w:rsid w:val="006001D1"/>
    <w:rsid w:val="006003CE"/>
    <w:rsid w:val="00601AD9"/>
    <w:rsid w:val="00602428"/>
    <w:rsid w:val="006033FB"/>
    <w:rsid w:val="006039B7"/>
    <w:rsid w:val="00603A43"/>
    <w:rsid w:val="00603C34"/>
    <w:rsid w:val="00603CC7"/>
    <w:rsid w:val="00603DED"/>
    <w:rsid w:val="006042A3"/>
    <w:rsid w:val="006046D3"/>
    <w:rsid w:val="00604A02"/>
    <w:rsid w:val="00604A76"/>
    <w:rsid w:val="00604DCC"/>
    <w:rsid w:val="006051F2"/>
    <w:rsid w:val="00605821"/>
    <w:rsid w:val="00605DE1"/>
    <w:rsid w:val="00605FA1"/>
    <w:rsid w:val="006065F9"/>
    <w:rsid w:val="00606995"/>
    <w:rsid w:val="00606A6D"/>
    <w:rsid w:val="00606FC4"/>
    <w:rsid w:val="006079EB"/>
    <w:rsid w:val="00610188"/>
    <w:rsid w:val="0061055D"/>
    <w:rsid w:val="00610B20"/>
    <w:rsid w:val="006118FD"/>
    <w:rsid w:val="00611D64"/>
    <w:rsid w:val="00612498"/>
    <w:rsid w:val="00612546"/>
    <w:rsid w:val="00612695"/>
    <w:rsid w:val="00612A2E"/>
    <w:rsid w:val="0061313F"/>
    <w:rsid w:val="0061388D"/>
    <w:rsid w:val="00613B10"/>
    <w:rsid w:val="00613F04"/>
    <w:rsid w:val="00614020"/>
    <w:rsid w:val="00614A3C"/>
    <w:rsid w:val="00614C02"/>
    <w:rsid w:val="00614F9C"/>
    <w:rsid w:val="006154A3"/>
    <w:rsid w:val="00615535"/>
    <w:rsid w:val="00615823"/>
    <w:rsid w:val="00615BF2"/>
    <w:rsid w:val="00615C1D"/>
    <w:rsid w:val="00616115"/>
    <w:rsid w:val="0061627C"/>
    <w:rsid w:val="00616480"/>
    <w:rsid w:val="006164A1"/>
    <w:rsid w:val="00616B6D"/>
    <w:rsid w:val="00616C37"/>
    <w:rsid w:val="00617760"/>
    <w:rsid w:val="00617975"/>
    <w:rsid w:val="00617D50"/>
    <w:rsid w:val="0062036C"/>
    <w:rsid w:val="0062047C"/>
    <w:rsid w:val="006206B5"/>
    <w:rsid w:val="00620911"/>
    <w:rsid w:val="00620FAF"/>
    <w:rsid w:val="00621027"/>
    <w:rsid w:val="006210FE"/>
    <w:rsid w:val="006212C0"/>
    <w:rsid w:val="006212DD"/>
    <w:rsid w:val="0062142C"/>
    <w:rsid w:val="006214E3"/>
    <w:rsid w:val="00621D1C"/>
    <w:rsid w:val="00621D9A"/>
    <w:rsid w:val="00622B61"/>
    <w:rsid w:val="00622BA3"/>
    <w:rsid w:val="00622D42"/>
    <w:rsid w:val="00622DB5"/>
    <w:rsid w:val="00622E34"/>
    <w:rsid w:val="00622E41"/>
    <w:rsid w:val="00622FDA"/>
    <w:rsid w:val="00623083"/>
    <w:rsid w:val="006239AC"/>
    <w:rsid w:val="00623A1E"/>
    <w:rsid w:val="00623C63"/>
    <w:rsid w:val="00623E7B"/>
    <w:rsid w:val="00623F48"/>
    <w:rsid w:val="0062404C"/>
    <w:rsid w:val="006243CC"/>
    <w:rsid w:val="00624CAF"/>
    <w:rsid w:val="00624D50"/>
    <w:rsid w:val="00624DBA"/>
    <w:rsid w:val="00624F56"/>
    <w:rsid w:val="0062573D"/>
    <w:rsid w:val="00625DB6"/>
    <w:rsid w:val="00626D6F"/>
    <w:rsid w:val="00627394"/>
    <w:rsid w:val="0062748F"/>
    <w:rsid w:val="006276DC"/>
    <w:rsid w:val="006278A9"/>
    <w:rsid w:val="006279F8"/>
    <w:rsid w:val="006304FA"/>
    <w:rsid w:val="00630502"/>
    <w:rsid w:val="0063092B"/>
    <w:rsid w:val="00630EA1"/>
    <w:rsid w:val="006311C3"/>
    <w:rsid w:val="00631319"/>
    <w:rsid w:val="00631443"/>
    <w:rsid w:val="006314C2"/>
    <w:rsid w:val="006314E3"/>
    <w:rsid w:val="00631561"/>
    <w:rsid w:val="00631C39"/>
    <w:rsid w:val="00632313"/>
    <w:rsid w:val="00632747"/>
    <w:rsid w:val="00632A62"/>
    <w:rsid w:val="00632B47"/>
    <w:rsid w:val="00633260"/>
    <w:rsid w:val="00633967"/>
    <w:rsid w:val="00633A3C"/>
    <w:rsid w:val="00633CE8"/>
    <w:rsid w:val="006340BA"/>
    <w:rsid w:val="00634882"/>
    <w:rsid w:val="006350FE"/>
    <w:rsid w:val="00635236"/>
    <w:rsid w:val="0063636B"/>
    <w:rsid w:val="00636C37"/>
    <w:rsid w:val="00636C53"/>
    <w:rsid w:val="00637061"/>
    <w:rsid w:val="00637741"/>
    <w:rsid w:val="00637F15"/>
    <w:rsid w:val="006401A7"/>
    <w:rsid w:val="00640328"/>
    <w:rsid w:val="006404FA"/>
    <w:rsid w:val="00640B72"/>
    <w:rsid w:val="00641E60"/>
    <w:rsid w:val="00642627"/>
    <w:rsid w:val="0064282F"/>
    <w:rsid w:val="006429A1"/>
    <w:rsid w:val="00642A74"/>
    <w:rsid w:val="00642D26"/>
    <w:rsid w:val="006433AE"/>
    <w:rsid w:val="006437E4"/>
    <w:rsid w:val="00643D9D"/>
    <w:rsid w:val="00643F84"/>
    <w:rsid w:val="0064401C"/>
    <w:rsid w:val="00644D2D"/>
    <w:rsid w:val="00644DC8"/>
    <w:rsid w:val="00644F02"/>
    <w:rsid w:val="00644F35"/>
    <w:rsid w:val="0064527E"/>
    <w:rsid w:val="0064540D"/>
    <w:rsid w:val="006456E9"/>
    <w:rsid w:val="00645836"/>
    <w:rsid w:val="00645C30"/>
    <w:rsid w:val="00646638"/>
    <w:rsid w:val="00646F19"/>
    <w:rsid w:val="00647293"/>
    <w:rsid w:val="006475A0"/>
    <w:rsid w:val="00647909"/>
    <w:rsid w:val="00647DAF"/>
    <w:rsid w:val="0065043B"/>
    <w:rsid w:val="006508F4"/>
    <w:rsid w:val="00650AB9"/>
    <w:rsid w:val="00651093"/>
    <w:rsid w:val="0065188E"/>
    <w:rsid w:val="00651A1B"/>
    <w:rsid w:val="00651E02"/>
    <w:rsid w:val="00651E2C"/>
    <w:rsid w:val="00651EB4"/>
    <w:rsid w:val="00651EE5"/>
    <w:rsid w:val="00652A02"/>
    <w:rsid w:val="0065342E"/>
    <w:rsid w:val="00653566"/>
    <w:rsid w:val="006536A9"/>
    <w:rsid w:val="00653758"/>
    <w:rsid w:val="00653CBC"/>
    <w:rsid w:val="00653E07"/>
    <w:rsid w:val="00654202"/>
    <w:rsid w:val="00655230"/>
    <w:rsid w:val="00655863"/>
    <w:rsid w:val="00655937"/>
    <w:rsid w:val="006559CA"/>
    <w:rsid w:val="00655F1C"/>
    <w:rsid w:val="0065645C"/>
    <w:rsid w:val="006567BB"/>
    <w:rsid w:val="00656AF8"/>
    <w:rsid w:val="00656E36"/>
    <w:rsid w:val="0065711A"/>
    <w:rsid w:val="0065750F"/>
    <w:rsid w:val="006575F1"/>
    <w:rsid w:val="0065768D"/>
    <w:rsid w:val="00657B0A"/>
    <w:rsid w:val="00657B57"/>
    <w:rsid w:val="00657EAB"/>
    <w:rsid w:val="0066090B"/>
    <w:rsid w:val="006609A5"/>
    <w:rsid w:val="00660E7F"/>
    <w:rsid w:val="0066109B"/>
    <w:rsid w:val="006611CE"/>
    <w:rsid w:val="00661776"/>
    <w:rsid w:val="006617E6"/>
    <w:rsid w:val="00661A2A"/>
    <w:rsid w:val="00661AF0"/>
    <w:rsid w:val="00661E23"/>
    <w:rsid w:val="00662429"/>
    <w:rsid w:val="0066246C"/>
    <w:rsid w:val="0066255B"/>
    <w:rsid w:val="0066261F"/>
    <w:rsid w:val="00662BFD"/>
    <w:rsid w:val="00662D5F"/>
    <w:rsid w:val="00662F28"/>
    <w:rsid w:val="00662FCC"/>
    <w:rsid w:val="0066322D"/>
    <w:rsid w:val="00663474"/>
    <w:rsid w:val="00663598"/>
    <w:rsid w:val="006635C5"/>
    <w:rsid w:val="00663947"/>
    <w:rsid w:val="00663E21"/>
    <w:rsid w:val="0066400F"/>
    <w:rsid w:val="00664213"/>
    <w:rsid w:val="00664B68"/>
    <w:rsid w:val="006650A6"/>
    <w:rsid w:val="006650E3"/>
    <w:rsid w:val="006658C6"/>
    <w:rsid w:val="006658CE"/>
    <w:rsid w:val="00665A2A"/>
    <w:rsid w:val="006662C8"/>
    <w:rsid w:val="006668D0"/>
    <w:rsid w:val="00666C5A"/>
    <w:rsid w:val="00666F2D"/>
    <w:rsid w:val="0066723D"/>
    <w:rsid w:val="006674C7"/>
    <w:rsid w:val="0066775C"/>
    <w:rsid w:val="00667AA2"/>
    <w:rsid w:val="00667B0B"/>
    <w:rsid w:val="00670109"/>
    <w:rsid w:val="0067023D"/>
    <w:rsid w:val="00670387"/>
    <w:rsid w:val="00671039"/>
    <w:rsid w:val="006713B9"/>
    <w:rsid w:val="00671CC1"/>
    <w:rsid w:val="00671D79"/>
    <w:rsid w:val="0067226F"/>
    <w:rsid w:val="006722DC"/>
    <w:rsid w:val="006724A2"/>
    <w:rsid w:val="006729B0"/>
    <w:rsid w:val="00672F30"/>
    <w:rsid w:val="0067389A"/>
    <w:rsid w:val="0067408B"/>
    <w:rsid w:val="0067478C"/>
    <w:rsid w:val="006750DA"/>
    <w:rsid w:val="006756CC"/>
    <w:rsid w:val="00675807"/>
    <w:rsid w:val="00675994"/>
    <w:rsid w:val="00675B41"/>
    <w:rsid w:val="00675C74"/>
    <w:rsid w:val="00676518"/>
    <w:rsid w:val="00676A24"/>
    <w:rsid w:val="006775EF"/>
    <w:rsid w:val="00677EA9"/>
    <w:rsid w:val="00677F2C"/>
    <w:rsid w:val="00680135"/>
    <w:rsid w:val="0068027D"/>
    <w:rsid w:val="00680A81"/>
    <w:rsid w:val="0068127D"/>
    <w:rsid w:val="00681EF9"/>
    <w:rsid w:val="006821BE"/>
    <w:rsid w:val="0068267C"/>
    <w:rsid w:val="006826D9"/>
    <w:rsid w:val="00683240"/>
    <w:rsid w:val="00683B9B"/>
    <w:rsid w:val="00683F77"/>
    <w:rsid w:val="006843D0"/>
    <w:rsid w:val="0068450E"/>
    <w:rsid w:val="00684805"/>
    <w:rsid w:val="00684DB8"/>
    <w:rsid w:val="006853D9"/>
    <w:rsid w:val="006855E8"/>
    <w:rsid w:val="00685999"/>
    <w:rsid w:val="00686010"/>
    <w:rsid w:val="00686119"/>
    <w:rsid w:val="0068659C"/>
    <w:rsid w:val="00686E0A"/>
    <w:rsid w:val="00686F5E"/>
    <w:rsid w:val="0068711E"/>
    <w:rsid w:val="00687562"/>
    <w:rsid w:val="00687925"/>
    <w:rsid w:val="006879D1"/>
    <w:rsid w:val="00687FCD"/>
    <w:rsid w:val="006901A0"/>
    <w:rsid w:val="006906F1"/>
    <w:rsid w:val="006907B5"/>
    <w:rsid w:val="006912F8"/>
    <w:rsid w:val="0069142D"/>
    <w:rsid w:val="00691732"/>
    <w:rsid w:val="00691A70"/>
    <w:rsid w:val="00691B0D"/>
    <w:rsid w:val="00691F5C"/>
    <w:rsid w:val="00691F8A"/>
    <w:rsid w:val="00692563"/>
    <w:rsid w:val="006944A5"/>
    <w:rsid w:val="00694674"/>
    <w:rsid w:val="00694E26"/>
    <w:rsid w:val="006950F9"/>
    <w:rsid w:val="00695135"/>
    <w:rsid w:val="00695150"/>
    <w:rsid w:val="00695768"/>
    <w:rsid w:val="006963C8"/>
    <w:rsid w:val="00697047"/>
    <w:rsid w:val="006A08B8"/>
    <w:rsid w:val="006A19F5"/>
    <w:rsid w:val="006A1D4C"/>
    <w:rsid w:val="006A1F72"/>
    <w:rsid w:val="006A2199"/>
    <w:rsid w:val="006A2431"/>
    <w:rsid w:val="006A2591"/>
    <w:rsid w:val="006A2B2F"/>
    <w:rsid w:val="006A2E05"/>
    <w:rsid w:val="006A2F16"/>
    <w:rsid w:val="006A30C7"/>
    <w:rsid w:val="006A320E"/>
    <w:rsid w:val="006A331F"/>
    <w:rsid w:val="006A38FF"/>
    <w:rsid w:val="006A3928"/>
    <w:rsid w:val="006A3B62"/>
    <w:rsid w:val="006A3E8B"/>
    <w:rsid w:val="006A4976"/>
    <w:rsid w:val="006A5223"/>
    <w:rsid w:val="006A5707"/>
    <w:rsid w:val="006A5752"/>
    <w:rsid w:val="006A57C0"/>
    <w:rsid w:val="006A597F"/>
    <w:rsid w:val="006A5A55"/>
    <w:rsid w:val="006A6401"/>
    <w:rsid w:val="006A64A6"/>
    <w:rsid w:val="006A686F"/>
    <w:rsid w:val="006A70A2"/>
    <w:rsid w:val="006A726F"/>
    <w:rsid w:val="006A7331"/>
    <w:rsid w:val="006A75E9"/>
    <w:rsid w:val="006A7CD1"/>
    <w:rsid w:val="006A7EEB"/>
    <w:rsid w:val="006B0373"/>
    <w:rsid w:val="006B066F"/>
    <w:rsid w:val="006B09DF"/>
    <w:rsid w:val="006B0B71"/>
    <w:rsid w:val="006B0B91"/>
    <w:rsid w:val="006B13B8"/>
    <w:rsid w:val="006B14AB"/>
    <w:rsid w:val="006B15AC"/>
    <w:rsid w:val="006B1D2C"/>
    <w:rsid w:val="006B1D8E"/>
    <w:rsid w:val="006B1F11"/>
    <w:rsid w:val="006B21B7"/>
    <w:rsid w:val="006B2455"/>
    <w:rsid w:val="006B29D7"/>
    <w:rsid w:val="006B3723"/>
    <w:rsid w:val="006B3AB0"/>
    <w:rsid w:val="006B3BBC"/>
    <w:rsid w:val="006B3BDC"/>
    <w:rsid w:val="006B3CF9"/>
    <w:rsid w:val="006B4369"/>
    <w:rsid w:val="006B47CC"/>
    <w:rsid w:val="006B4919"/>
    <w:rsid w:val="006B5C39"/>
    <w:rsid w:val="006B6A00"/>
    <w:rsid w:val="006B6F18"/>
    <w:rsid w:val="006B731B"/>
    <w:rsid w:val="006B7F7E"/>
    <w:rsid w:val="006C0046"/>
    <w:rsid w:val="006C0191"/>
    <w:rsid w:val="006C07A7"/>
    <w:rsid w:val="006C0BB9"/>
    <w:rsid w:val="006C1061"/>
    <w:rsid w:val="006C157A"/>
    <w:rsid w:val="006C1B75"/>
    <w:rsid w:val="006C1B9F"/>
    <w:rsid w:val="006C292D"/>
    <w:rsid w:val="006C362A"/>
    <w:rsid w:val="006C3991"/>
    <w:rsid w:val="006C3EA9"/>
    <w:rsid w:val="006C3EBA"/>
    <w:rsid w:val="006C40D3"/>
    <w:rsid w:val="006C466B"/>
    <w:rsid w:val="006C483B"/>
    <w:rsid w:val="006C498C"/>
    <w:rsid w:val="006C55D2"/>
    <w:rsid w:val="006C5B31"/>
    <w:rsid w:val="006C652E"/>
    <w:rsid w:val="006C66F5"/>
    <w:rsid w:val="006C6C3D"/>
    <w:rsid w:val="006C6C8E"/>
    <w:rsid w:val="006C6F47"/>
    <w:rsid w:val="006D06FC"/>
    <w:rsid w:val="006D0D8F"/>
    <w:rsid w:val="006D0E7A"/>
    <w:rsid w:val="006D13AF"/>
    <w:rsid w:val="006D162E"/>
    <w:rsid w:val="006D19E4"/>
    <w:rsid w:val="006D200C"/>
    <w:rsid w:val="006D2B63"/>
    <w:rsid w:val="006D2DFE"/>
    <w:rsid w:val="006D34C8"/>
    <w:rsid w:val="006D3509"/>
    <w:rsid w:val="006D3799"/>
    <w:rsid w:val="006D3894"/>
    <w:rsid w:val="006D3A2F"/>
    <w:rsid w:val="006D3A52"/>
    <w:rsid w:val="006D3AE4"/>
    <w:rsid w:val="006D3AFF"/>
    <w:rsid w:val="006D3D8A"/>
    <w:rsid w:val="006D4466"/>
    <w:rsid w:val="006D48DD"/>
    <w:rsid w:val="006D4E1F"/>
    <w:rsid w:val="006D5249"/>
    <w:rsid w:val="006D64EE"/>
    <w:rsid w:val="006D68E9"/>
    <w:rsid w:val="006D68EB"/>
    <w:rsid w:val="006D6A1F"/>
    <w:rsid w:val="006D7746"/>
    <w:rsid w:val="006D7841"/>
    <w:rsid w:val="006D7890"/>
    <w:rsid w:val="006D7FC5"/>
    <w:rsid w:val="006E00F3"/>
    <w:rsid w:val="006E03C9"/>
    <w:rsid w:val="006E0C28"/>
    <w:rsid w:val="006E0DE4"/>
    <w:rsid w:val="006E0EE0"/>
    <w:rsid w:val="006E142F"/>
    <w:rsid w:val="006E1CC6"/>
    <w:rsid w:val="006E204D"/>
    <w:rsid w:val="006E23A0"/>
    <w:rsid w:val="006E248A"/>
    <w:rsid w:val="006E3462"/>
    <w:rsid w:val="006E3ABC"/>
    <w:rsid w:val="006E3BA7"/>
    <w:rsid w:val="006E40D5"/>
    <w:rsid w:val="006E5488"/>
    <w:rsid w:val="006E5A03"/>
    <w:rsid w:val="006E5E14"/>
    <w:rsid w:val="006E6557"/>
    <w:rsid w:val="006E678B"/>
    <w:rsid w:val="006E69EB"/>
    <w:rsid w:val="006E6C7C"/>
    <w:rsid w:val="006E6D0F"/>
    <w:rsid w:val="006E6DCC"/>
    <w:rsid w:val="006E6F4E"/>
    <w:rsid w:val="006E72AF"/>
    <w:rsid w:val="006E7556"/>
    <w:rsid w:val="006E7B5E"/>
    <w:rsid w:val="006F0179"/>
    <w:rsid w:val="006F07D6"/>
    <w:rsid w:val="006F0AF5"/>
    <w:rsid w:val="006F0B72"/>
    <w:rsid w:val="006F0BFF"/>
    <w:rsid w:val="006F0C2B"/>
    <w:rsid w:val="006F0DBF"/>
    <w:rsid w:val="006F0DE3"/>
    <w:rsid w:val="006F16CC"/>
    <w:rsid w:val="006F1B0F"/>
    <w:rsid w:val="006F1D11"/>
    <w:rsid w:val="006F2656"/>
    <w:rsid w:val="006F26A7"/>
    <w:rsid w:val="006F2E94"/>
    <w:rsid w:val="006F567E"/>
    <w:rsid w:val="006F5804"/>
    <w:rsid w:val="006F5BAE"/>
    <w:rsid w:val="006F6FAD"/>
    <w:rsid w:val="006F701D"/>
    <w:rsid w:val="006F75ED"/>
    <w:rsid w:val="006F76D6"/>
    <w:rsid w:val="006F78EA"/>
    <w:rsid w:val="00700095"/>
    <w:rsid w:val="007001E9"/>
    <w:rsid w:val="007006AA"/>
    <w:rsid w:val="00700916"/>
    <w:rsid w:val="00700925"/>
    <w:rsid w:val="00700A97"/>
    <w:rsid w:val="00700D0A"/>
    <w:rsid w:val="00700D11"/>
    <w:rsid w:val="00700EEE"/>
    <w:rsid w:val="00701B37"/>
    <w:rsid w:val="00701DC2"/>
    <w:rsid w:val="00702B11"/>
    <w:rsid w:val="00702EFD"/>
    <w:rsid w:val="00703318"/>
    <w:rsid w:val="007034A1"/>
    <w:rsid w:val="0070392F"/>
    <w:rsid w:val="007039AA"/>
    <w:rsid w:val="00703E87"/>
    <w:rsid w:val="007047B6"/>
    <w:rsid w:val="0070499F"/>
    <w:rsid w:val="007050C3"/>
    <w:rsid w:val="007052E0"/>
    <w:rsid w:val="007052EB"/>
    <w:rsid w:val="007054EB"/>
    <w:rsid w:val="007056B0"/>
    <w:rsid w:val="00705AF9"/>
    <w:rsid w:val="00705D7D"/>
    <w:rsid w:val="00705EFD"/>
    <w:rsid w:val="007068E1"/>
    <w:rsid w:val="00706A35"/>
    <w:rsid w:val="00706DC4"/>
    <w:rsid w:val="00706E7A"/>
    <w:rsid w:val="007070C2"/>
    <w:rsid w:val="00707335"/>
    <w:rsid w:val="007079D6"/>
    <w:rsid w:val="00707C9E"/>
    <w:rsid w:val="00707D07"/>
    <w:rsid w:val="00710035"/>
    <w:rsid w:val="00710169"/>
    <w:rsid w:val="00710319"/>
    <w:rsid w:val="007105E2"/>
    <w:rsid w:val="00710D29"/>
    <w:rsid w:val="00711085"/>
    <w:rsid w:val="007114B2"/>
    <w:rsid w:val="00711B40"/>
    <w:rsid w:val="00711EA5"/>
    <w:rsid w:val="00711EC4"/>
    <w:rsid w:val="007120BE"/>
    <w:rsid w:val="007121C1"/>
    <w:rsid w:val="00712AC6"/>
    <w:rsid w:val="00712E03"/>
    <w:rsid w:val="00713166"/>
    <w:rsid w:val="007135D0"/>
    <w:rsid w:val="00713877"/>
    <w:rsid w:val="00713C41"/>
    <w:rsid w:val="00713F3A"/>
    <w:rsid w:val="00713F48"/>
    <w:rsid w:val="00714703"/>
    <w:rsid w:val="007152CA"/>
    <w:rsid w:val="00715747"/>
    <w:rsid w:val="007161FF"/>
    <w:rsid w:val="0071629B"/>
    <w:rsid w:val="00716556"/>
    <w:rsid w:val="007167AD"/>
    <w:rsid w:val="007167F2"/>
    <w:rsid w:val="00716F87"/>
    <w:rsid w:val="00717263"/>
    <w:rsid w:val="00717280"/>
    <w:rsid w:val="00717DA0"/>
    <w:rsid w:val="00720701"/>
    <w:rsid w:val="007208B4"/>
    <w:rsid w:val="00720E8E"/>
    <w:rsid w:val="00721458"/>
    <w:rsid w:val="00721641"/>
    <w:rsid w:val="007217D8"/>
    <w:rsid w:val="007218AE"/>
    <w:rsid w:val="00721CE7"/>
    <w:rsid w:val="00721F51"/>
    <w:rsid w:val="00722009"/>
    <w:rsid w:val="0072205F"/>
    <w:rsid w:val="007227E6"/>
    <w:rsid w:val="00722C34"/>
    <w:rsid w:val="00722EB8"/>
    <w:rsid w:val="00723424"/>
    <w:rsid w:val="00723805"/>
    <w:rsid w:val="007238B0"/>
    <w:rsid w:val="007239C2"/>
    <w:rsid w:val="00723BC4"/>
    <w:rsid w:val="00724814"/>
    <w:rsid w:val="007249DD"/>
    <w:rsid w:val="0072550C"/>
    <w:rsid w:val="00725E94"/>
    <w:rsid w:val="00726895"/>
    <w:rsid w:val="007268AE"/>
    <w:rsid w:val="007268E8"/>
    <w:rsid w:val="00726CB6"/>
    <w:rsid w:val="00726EB8"/>
    <w:rsid w:val="007270C4"/>
    <w:rsid w:val="0072793D"/>
    <w:rsid w:val="00730077"/>
    <w:rsid w:val="0073058F"/>
    <w:rsid w:val="0073086C"/>
    <w:rsid w:val="00730957"/>
    <w:rsid w:val="00730FFC"/>
    <w:rsid w:val="0073109F"/>
    <w:rsid w:val="0073157D"/>
    <w:rsid w:val="00731A17"/>
    <w:rsid w:val="00731EDD"/>
    <w:rsid w:val="007327A6"/>
    <w:rsid w:val="007328B5"/>
    <w:rsid w:val="00732D1A"/>
    <w:rsid w:val="00732FF2"/>
    <w:rsid w:val="00733030"/>
    <w:rsid w:val="00733082"/>
    <w:rsid w:val="00733196"/>
    <w:rsid w:val="007333E3"/>
    <w:rsid w:val="007340BA"/>
    <w:rsid w:val="00734621"/>
    <w:rsid w:val="0073496A"/>
    <w:rsid w:val="007353BD"/>
    <w:rsid w:val="007354CA"/>
    <w:rsid w:val="0073553C"/>
    <w:rsid w:val="007359FD"/>
    <w:rsid w:val="00735E14"/>
    <w:rsid w:val="00735F3E"/>
    <w:rsid w:val="007363A9"/>
    <w:rsid w:val="0073675F"/>
    <w:rsid w:val="00736813"/>
    <w:rsid w:val="0073720F"/>
    <w:rsid w:val="007378A4"/>
    <w:rsid w:val="00737A24"/>
    <w:rsid w:val="00737ABA"/>
    <w:rsid w:val="00737BA6"/>
    <w:rsid w:val="00737F7C"/>
    <w:rsid w:val="007403C5"/>
    <w:rsid w:val="00740E60"/>
    <w:rsid w:val="00741358"/>
    <w:rsid w:val="00741433"/>
    <w:rsid w:val="007418FE"/>
    <w:rsid w:val="00741D89"/>
    <w:rsid w:val="00741FD0"/>
    <w:rsid w:val="007420D1"/>
    <w:rsid w:val="00742105"/>
    <w:rsid w:val="00742418"/>
    <w:rsid w:val="007427EC"/>
    <w:rsid w:val="00743C2E"/>
    <w:rsid w:val="007442FC"/>
    <w:rsid w:val="00744D2F"/>
    <w:rsid w:val="00745267"/>
    <w:rsid w:val="007454AE"/>
    <w:rsid w:val="0074583D"/>
    <w:rsid w:val="00745E98"/>
    <w:rsid w:val="00746335"/>
    <w:rsid w:val="00746A2F"/>
    <w:rsid w:val="00746E3E"/>
    <w:rsid w:val="00746F0E"/>
    <w:rsid w:val="00747C60"/>
    <w:rsid w:val="00750408"/>
    <w:rsid w:val="00750FCA"/>
    <w:rsid w:val="00751401"/>
    <w:rsid w:val="0075165D"/>
    <w:rsid w:val="00751E0A"/>
    <w:rsid w:val="00751ECF"/>
    <w:rsid w:val="0075226F"/>
    <w:rsid w:val="0075248D"/>
    <w:rsid w:val="0075254F"/>
    <w:rsid w:val="00752938"/>
    <w:rsid w:val="00752C12"/>
    <w:rsid w:val="00752E45"/>
    <w:rsid w:val="007530CC"/>
    <w:rsid w:val="007537FB"/>
    <w:rsid w:val="007542BF"/>
    <w:rsid w:val="00754C68"/>
    <w:rsid w:val="007550B9"/>
    <w:rsid w:val="0075554E"/>
    <w:rsid w:val="007575C3"/>
    <w:rsid w:val="007579CA"/>
    <w:rsid w:val="00760091"/>
    <w:rsid w:val="007609EB"/>
    <w:rsid w:val="00760A27"/>
    <w:rsid w:val="00760A5D"/>
    <w:rsid w:val="0076107A"/>
    <w:rsid w:val="00761441"/>
    <w:rsid w:val="007615A9"/>
    <w:rsid w:val="00761BE6"/>
    <w:rsid w:val="007626DE"/>
    <w:rsid w:val="0076294B"/>
    <w:rsid w:val="00762B50"/>
    <w:rsid w:val="00762DF2"/>
    <w:rsid w:val="007631DC"/>
    <w:rsid w:val="0076347F"/>
    <w:rsid w:val="00764024"/>
    <w:rsid w:val="00764478"/>
    <w:rsid w:val="0076486F"/>
    <w:rsid w:val="00764C08"/>
    <w:rsid w:val="00764F4E"/>
    <w:rsid w:val="007654CB"/>
    <w:rsid w:val="00765B57"/>
    <w:rsid w:val="00765CC7"/>
    <w:rsid w:val="007667BF"/>
    <w:rsid w:val="00766AE2"/>
    <w:rsid w:val="00766C1B"/>
    <w:rsid w:val="00766FF5"/>
    <w:rsid w:val="0076716C"/>
    <w:rsid w:val="00767403"/>
    <w:rsid w:val="00767E3C"/>
    <w:rsid w:val="00770C65"/>
    <w:rsid w:val="00771069"/>
    <w:rsid w:val="00771495"/>
    <w:rsid w:val="007717F3"/>
    <w:rsid w:val="0077232D"/>
    <w:rsid w:val="0077273D"/>
    <w:rsid w:val="00772772"/>
    <w:rsid w:val="007728FC"/>
    <w:rsid w:val="00774DA9"/>
    <w:rsid w:val="007756ED"/>
    <w:rsid w:val="00775BD0"/>
    <w:rsid w:val="00775C4E"/>
    <w:rsid w:val="00776ADB"/>
    <w:rsid w:val="00776C05"/>
    <w:rsid w:val="00776D53"/>
    <w:rsid w:val="00777585"/>
    <w:rsid w:val="00777A0B"/>
    <w:rsid w:val="00777A89"/>
    <w:rsid w:val="007802F5"/>
    <w:rsid w:val="00780661"/>
    <w:rsid w:val="00780899"/>
    <w:rsid w:val="007808CA"/>
    <w:rsid w:val="00780BE9"/>
    <w:rsid w:val="007810FA"/>
    <w:rsid w:val="0078168A"/>
    <w:rsid w:val="00781F3C"/>
    <w:rsid w:val="0078213D"/>
    <w:rsid w:val="007824CF"/>
    <w:rsid w:val="007825DF"/>
    <w:rsid w:val="007826A3"/>
    <w:rsid w:val="00782B35"/>
    <w:rsid w:val="00782C3F"/>
    <w:rsid w:val="00782EAC"/>
    <w:rsid w:val="00782EB7"/>
    <w:rsid w:val="0078316C"/>
    <w:rsid w:val="007835FA"/>
    <w:rsid w:val="007838EA"/>
    <w:rsid w:val="0078396A"/>
    <w:rsid w:val="00783C07"/>
    <w:rsid w:val="007842A5"/>
    <w:rsid w:val="0078483E"/>
    <w:rsid w:val="007851AB"/>
    <w:rsid w:val="007852AC"/>
    <w:rsid w:val="00785D0A"/>
    <w:rsid w:val="00785FDF"/>
    <w:rsid w:val="00786361"/>
    <w:rsid w:val="007870EE"/>
    <w:rsid w:val="007875F9"/>
    <w:rsid w:val="00787C4A"/>
    <w:rsid w:val="0079018C"/>
    <w:rsid w:val="0079036A"/>
    <w:rsid w:val="0079081E"/>
    <w:rsid w:val="00790AD7"/>
    <w:rsid w:val="00791186"/>
    <w:rsid w:val="00791189"/>
    <w:rsid w:val="007918B0"/>
    <w:rsid w:val="00791BA1"/>
    <w:rsid w:val="00792439"/>
    <w:rsid w:val="00792550"/>
    <w:rsid w:val="0079289A"/>
    <w:rsid w:val="007928F1"/>
    <w:rsid w:val="00792DD9"/>
    <w:rsid w:val="00792E9C"/>
    <w:rsid w:val="007931B8"/>
    <w:rsid w:val="007934DC"/>
    <w:rsid w:val="00793B75"/>
    <w:rsid w:val="00794189"/>
    <w:rsid w:val="007942A4"/>
    <w:rsid w:val="00796208"/>
    <w:rsid w:val="00796CBC"/>
    <w:rsid w:val="007972FE"/>
    <w:rsid w:val="0079737E"/>
    <w:rsid w:val="0079773E"/>
    <w:rsid w:val="00797A0F"/>
    <w:rsid w:val="00797F04"/>
    <w:rsid w:val="007A00C3"/>
    <w:rsid w:val="007A025F"/>
    <w:rsid w:val="007A060D"/>
    <w:rsid w:val="007A06D0"/>
    <w:rsid w:val="007A0890"/>
    <w:rsid w:val="007A0F0C"/>
    <w:rsid w:val="007A0FA2"/>
    <w:rsid w:val="007A11FD"/>
    <w:rsid w:val="007A152C"/>
    <w:rsid w:val="007A1547"/>
    <w:rsid w:val="007A2A7E"/>
    <w:rsid w:val="007A2BA5"/>
    <w:rsid w:val="007A2CF3"/>
    <w:rsid w:val="007A3F39"/>
    <w:rsid w:val="007A475A"/>
    <w:rsid w:val="007A49A2"/>
    <w:rsid w:val="007A4C5E"/>
    <w:rsid w:val="007A4F41"/>
    <w:rsid w:val="007A635B"/>
    <w:rsid w:val="007A68A7"/>
    <w:rsid w:val="007A72A2"/>
    <w:rsid w:val="007A741C"/>
    <w:rsid w:val="007A74C2"/>
    <w:rsid w:val="007A7783"/>
    <w:rsid w:val="007A77C9"/>
    <w:rsid w:val="007A7D82"/>
    <w:rsid w:val="007A7ECF"/>
    <w:rsid w:val="007B0A5F"/>
    <w:rsid w:val="007B0D68"/>
    <w:rsid w:val="007B0EB3"/>
    <w:rsid w:val="007B0F26"/>
    <w:rsid w:val="007B10FA"/>
    <w:rsid w:val="007B1215"/>
    <w:rsid w:val="007B175B"/>
    <w:rsid w:val="007B199F"/>
    <w:rsid w:val="007B1E8A"/>
    <w:rsid w:val="007B2034"/>
    <w:rsid w:val="007B2164"/>
    <w:rsid w:val="007B2372"/>
    <w:rsid w:val="007B24F9"/>
    <w:rsid w:val="007B2785"/>
    <w:rsid w:val="007B2BD8"/>
    <w:rsid w:val="007B2EF4"/>
    <w:rsid w:val="007B303C"/>
    <w:rsid w:val="007B3442"/>
    <w:rsid w:val="007B3471"/>
    <w:rsid w:val="007B39D9"/>
    <w:rsid w:val="007B3E5C"/>
    <w:rsid w:val="007B47D4"/>
    <w:rsid w:val="007B532F"/>
    <w:rsid w:val="007B57FE"/>
    <w:rsid w:val="007B5ACE"/>
    <w:rsid w:val="007B5BDA"/>
    <w:rsid w:val="007B5C15"/>
    <w:rsid w:val="007B5CA9"/>
    <w:rsid w:val="007B61AB"/>
    <w:rsid w:val="007B646B"/>
    <w:rsid w:val="007B66D2"/>
    <w:rsid w:val="007B6E68"/>
    <w:rsid w:val="007B6ED2"/>
    <w:rsid w:val="007B728A"/>
    <w:rsid w:val="007B75B4"/>
    <w:rsid w:val="007B7AE3"/>
    <w:rsid w:val="007B7DC8"/>
    <w:rsid w:val="007B7DDC"/>
    <w:rsid w:val="007B7E5A"/>
    <w:rsid w:val="007C060B"/>
    <w:rsid w:val="007C0D9C"/>
    <w:rsid w:val="007C1382"/>
    <w:rsid w:val="007C1894"/>
    <w:rsid w:val="007C1F53"/>
    <w:rsid w:val="007C28A2"/>
    <w:rsid w:val="007C2C90"/>
    <w:rsid w:val="007C2E8F"/>
    <w:rsid w:val="007C2EAB"/>
    <w:rsid w:val="007C2F1D"/>
    <w:rsid w:val="007C2F83"/>
    <w:rsid w:val="007C32DB"/>
    <w:rsid w:val="007C3552"/>
    <w:rsid w:val="007C36F0"/>
    <w:rsid w:val="007C391E"/>
    <w:rsid w:val="007C3FC0"/>
    <w:rsid w:val="007C4071"/>
    <w:rsid w:val="007C432A"/>
    <w:rsid w:val="007C43BA"/>
    <w:rsid w:val="007C47B1"/>
    <w:rsid w:val="007C4BBF"/>
    <w:rsid w:val="007C5088"/>
    <w:rsid w:val="007C59E9"/>
    <w:rsid w:val="007C6443"/>
    <w:rsid w:val="007C6728"/>
    <w:rsid w:val="007C67C4"/>
    <w:rsid w:val="007C7CDA"/>
    <w:rsid w:val="007C7D65"/>
    <w:rsid w:val="007D09DF"/>
    <w:rsid w:val="007D0FE5"/>
    <w:rsid w:val="007D1041"/>
    <w:rsid w:val="007D1438"/>
    <w:rsid w:val="007D1639"/>
    <w:rsid w:val="007D2128"/>
    <w:rsid w:val="007D2850"/>
    <w:rsid w:val="007D39FC"/>
    <w:rsid w:val="007D3FC6"/>
    <w:rsid w:val="007D4A80"/>
    <w:rsid w:val="007D5069"/>
    <w:rsid w:val="007D545D"/>
    <w:rsid w:val="007D60D5"/>
    <w:rsid w:val="007D62B8"/>
    <w:rsid w:val="007D67F0"/>
    <w:rsid w:val="007D69C7"/>
    <w:rsid w:val="007D6BBB"/>
    <w:rsid w:val="007D6BC7"/>
    <w:rsid w:val="007D7081"/>
    <w:rsid w:val="007D7345"/>
    <w:rsid w:val="007D7A0F"/>
    <w:rsid w:val="007E0078"/>
    <w:rsid w:val="007E070F"/>
    <w:rsid w:val="007E0E3F"/>
    <w:rsid w:val="007E1582"/>
    <w:rsid w:val="007E1967"/>
    <w:rsid w:val="007E1B8F"/>
    <w:rsid w:val="007E20B7"/>
    <w:rsid w:val="007E20D1"/>
    <w:rsid w:val="007E28F8"/>
    <w:rsid w:val="007E344F"/>
    <w:rsid w:val="007E37D0"/>
    <w:rsid w:val="007E3B00"/>
    <w:rsid w:val="007E3CAD"/>
    <w:rsid w:val="007E40F7"/>
    <w:rsid w:val="007E4317"/>
    <w:rsid w:val="007E4632"/>
    <w:rsid w:val="007E46BC"/>
    <w:rsid w:val="007E4885"/>
    <w:rsid w:val="007E4C02"/>
    <w:rsid w:val="007E4C2A"/>
    <w:rsid w:val="007E4FEF"/>
    <w:rsid w:val="007E5A39"/>
    <w:rsid w:val="007E5BAA"/>
    <w:rsid w:val="007E65F8"/>
    <w:rsid w:val="007E6DB1"/>
    <w:rsid w:val="007E6E3F"/>
    <w:rsid w:val="007E6F4B"/>
    <w:rsid w:val="007E6FCA"/>
    <w:rsid w:val="007E72CF"/>
    <w:rsid w:val="007F0738"/>
    <w:rsid w:val="007F0967"/>
    <w:rsid w:val="007F167E"/>
    <w:rsid w:val="007F1959"/>
    <w:rsid w:val="007F1A55"/>
    <w:rsid w:val="007F223C"/>
    <w:rsid w:val="007F2452"/>
    <w:rsid w:val="007F2630"/>
    <w:rsid w:val="007F2749"/>
    <w:rsid w:val="007F2A99"/>
    <w:rsid w:val="007F3328"/>
    <w:rsid w:val="007F39FE"/>
    <w:rsid w:val="007F445F"/>
    <w:rsid w:val="007F451B"/>
    <w:rsid w:val="007F4D10"/>
    <w:rsid w:val="007F4DB3"/>
    <w:rsid w:val="007F4F8A"/>
    <w:rsid w:val="007F5340"/>
    <w:rsid w:val="007F536A"/>
    <w:rsid w:val="007F54A0"/>
    <w:rsid w:val="007F559D"/>
    <w:rsid w:val="007F5713"/>
    <w:rsid w:val="007F5BE5"/>
    <w:rsid w:val="007F5EFD"/>
    <w:rsid w:val="007F6267"/>
    <w:rsid w:val="007F689C"/>
    <w:rsid w:val="007F6988"/>
    <w:rsid w:val="007F6C40"/>
    <w:rsid w:val="007F72D2"/>
    <w:rsid w:val="007F732F"/>
    <w:rsid w:val="007F771E"/>
    <w:rsid w:val="007F7E2F"/>
    <w:rsid w:val="007F7F6B"/>
    <w:rsid w:val="008001CF"/>
    <w:rsid w:val="00800491"/>
    <w:rsid w:val="00800644"/>
    <w:rsid w:val="0080097E"/>
    <w:rsid w:val="00800A06"/>
    <w:rsid w:val="00800A85"/>
    <w:rsid w:val="00800CB2"/>
    <w:rsid w:val="00800F25"/>
    <w:rsid w:val="008023BF"/>
    <w:rsid w:val="00802444"/>
    <w:rsid w:val="00802AC8"/>
    <w:rsid w:val="008038E7"/>
    <w:rsid w:val="00803958"/>
    <w:rsid w:val="00803CB7"/>
    <w:rsid w:val="00803F0E"/>
    <w:rsid w:val="00803FC4"/>
    <w:rsid w:val="00803FF7"/>
    <w:rsid w:val="00804263"/>
    <w:rsid w:val="008049EA"/>
    <w:rsid w:val="00804D1B"/>
    <w:rsid w:val="0080588A"/>
    <w:rsid w:val="00805E36"/>
    <w:rsid w:val="00806141"/>
    <w:rsid w:val="0080779A"/>
    <w:rsid w:val="00807B41"/>
    <w:rsid w:val="00810490"/>
    <w:rsid w:val="008107F4"/>
    <w:rsid w:val="008122C3"/>
    <w:rsid w:val="008125E3"/>
    <w:rsid w:val="008127A3"/>
    <w:rsid w:val="00812830"/>
    <w:rsid w:val="00812997"/>
    <w:rsid w:val="00812FEA"/>
    <w:rsid w:val="00813832"/>
    <w:rsid w:val="00813987"/>
    <w:rsid w:val="00813BC6"/>
    <w:rsid w:val="00814A51"/>
    <w:rsid w:val="00814C26"/>
    <w:rsid w:val="008151A0"/>
    <w:rsid w:val="00815387"/>
    <w:rsid w:val="0081580C"/>
    <w:rsid w:val="00816E14"/>
    <w:rsid w:val="00816E46"/>
    <w:rsid w:val="00817C9A"/>
    <w:rsid w:val="00817FB2"/>
    <w:rsid w:val="0082025F"/>
    <w:rsid w:val="008202F2"/>
    <w:rsid w:val="008205CE"/>
    <w:rsid w:val="00820AE7"/>
    <w:rsid w:val="00820BF2"/>
    <w:rsid w:val="00820D12"/>
    <w:rsid w:val="00820DCA"/>
    <w:rsid w:val="00821070"/>
    <w:rsid w:val="008213DA"/>
    <w:rsid w:val="00821488"/>
    <w:rsid w:val="008216EE"/>
    <w:rsid w:val="00821E26"/>
    <w:rsid w:val="008229F2"/>
    <w:rsid w:val="00822CE0"/>
    <w:rsid w:val="008231AD"/>
    <w:rsid w:val="0082370D"/>
    <w:rsid w:val="00823F5C"/>
    <w:rsid w:val="00824343"/>
    <w:rsid w:val="00824FE0"/>
    <w:rsid w:val="00825368"/>
    <w:rsid w:val="00825448"/>
    <w:rsid w:val="0082581A"/>
    <w:rsid w:val="00825BC9"/>
    <w:rsid w:val="00825D9C"/>
    <w:rsid w:val="00826C35"/>
    <w:rsid w:val="00826CBB"/>
    <w:rsid w:val="00826F09"/>
    <w:rsid w:val="00827A1B"/>
    <w:rsid w:val="00827A56"/>
    <w:rsid w:val="00827BD7"/>
    <w:rsid w:val="00830109"/>
    <w:rsid w:val="008302DA"/>
    <w:rsid w:val="008303EB"/>
    <w:rsid w:val="00830D6C"/>
    <w:rsid w:val="00831702"/>
    <w:rsid w:val="0083184E"/>
    <w:rsid w:val="008319AF"/>
    <w:rsid w:val="00831CD4"/>
    <w:rsid w:val="00831E4D"/>
    <w:rsid w:val="00832315"/>
    <w:rsid w:val="008324C6"/>
    <w:rsid w:val="00832952"/>
    <w:rsid w:val="00832DFD"/>
    <w:rsid w:val="00833463"/>
    <w:rsid w:val="00833534"/>
    <w:rsid w:val="00833A28"/>
    <w:rsid w:val="0083405C"/>
    <w:rsid w:val="00834996"/>
    <w:rsid w:val="008357CD"/>
    <w:rsid w:val="00835B2F"/>
    <w:rsid w:val="00835C63"/>
    <w:rsid w:val="00836224"/>
    <w:rsid w:val="00836A55"/>
    <w:rsid w:val="008379C8"/>
    <w:rsid w:val="0084092A"/>
    <w:rsid w:val="00840B86"/>
    <w:rsid w:val="00840EB0"/>
    <w:rsid w:val="00840EB2"/>
    <w:rsid w:val="008412A7"/>
    <w:rsid w:val="008416A4"/>
    <w:rsid w:val="00841AD3"/>
    <w:rsid w:val="00841B24"/>
    <w:rsid w:val="00841D2B"/>
    <w:rsid w:val="00842E29"/>
    <w:rsid w:val="00843867"/>
    <w:rsid w:val="0084402D"/>
    <w:rsid w:val="008442E3"/>
    <w:rsid w:val="008446A9"/>
    <w:rsid w:val="0084481C"/>
    <w:rsid w:val="00844927"/>
    <w:rsid w:val="00844BE1"/>
    <w:rsid w:val="0084535F"/>
    <w:rsid w:val="00845616"/>
    <w:rsid w:val="008466F8"/>
    <w:rsid w:val="00846D0B"/>
    <w:rsid w:val="00846DC8"/>
    <w:rsid w:val="00846DFE"/>
    <w:rsid w:val="00847025"/>
    <w:rsid w:val="00847910"/>
    <w:rsid w:val="00847932"/>
    <w:rsid w:val="00847AD5"/>
    <w:rsid w:val="00847BAE"/>
    <w:rsid w:val="00847C69"/>
    <w:rsid w:val="00847D0B"/>
    <w:rsid w:val="0085016F"/>
    <w:rsid w:val="00850228"/>
    <w:rsid w:val="0085029D"/>
    <w:rsid w:val="00850695"/>
    <w:rsid w:val="0085078F"/>
    <w:rsid w:val="00851207"/>
    <w:rsid w:val="00851E10"/>
    <w:rsid w:val="008520C7"/>
    <w:rsid w:val="008522E8"/>
    <w:rsid w:val="00852766"/>
    <w:rsid w:val="00852D14"/>
    <w:rsid w:val="0085323F"/>
    <w:rsid w:val="0085339A"/>
    <w:rsid w:val="00853A75"/>
    <w:rsid w:val="00853F63"/>
    <w:rsid w:val="0085466C"/>
    <w:rsid w:val="0085470C"/>
    <w:rsid w:val="008547EE"/>
    <w:rsid w:val="00854C2F"/>
    <w:rsid w:val="008554FE"/>
    <w:rsid w:val="008556B2"/>
    <w:rsid w:val="00855AA3"/>
    <w:rsid w:val="00855BDD"/>
    <w:rsid w:val="00856081"/>
    <w:rsid w:val="00856179"/>
    <w:rsid w:val="008562DD"/>
    <w:rsid w:val="0085645F"/>
    <w:rsid w:val="00856A09"/>
    <w:rsid w:val="00857492"/>
    <w:rsid w:val="00857955"/>
    <w:rsid w:val="00857FC3"/>
    <w:rsid w:val="00857FFA"/>
    <w:rsid w:val="00860953"/>
    <w:rsid w:val="00860B41"/>
    <w:rsid w:val="00860C74"/>
    <w:rsid w:val="00860F8F"/>
    <w:rsid w:val="00861E07"/>
    <w:rsid w:val="008629B6"/>
    <w:rsid w:val="00862B54"/>
    <w:rsid w:val="00862D1A"/>
    <w:rsid w:val="00862DA1"/>
    <w:rsid w:val="00862F22"/>
    <w:rsid w:val="0086336B"/>
    <w:rsid w:val="008638B6"/>
    <w:rsid w:val="008639A1"/>
    <w:rsid w:val="00863CDC"/>
    <w:rsid w:val="00863F95"/>
    <w:rsid w:val="008648EF"/>
    <w:rsid w:val="0086618C"/>
    <w:rsid w:val="008663BB"/>
    <w:rsid w:val="00866911"/>
    <w:rsid w:val="00866986"/>
    <w:rsid w:val="00866998"/>
    <w:rsid w:val="00867669"/>
    <w:rsid w:val="00867AE9"/>
    <w:rsid w:val="008704B2"/>
    <w:rsid w:val="00870EDB"/>
    <w:rsid w:val="00870F52"/>
    <w:rsid w:val="00871430"/>
    <w:rsid w:val="00871518"/>
    <w:rsid w:val="0087175C"/>
    <w:rsid w:val="00871A02"/>
    <w:rsid w:val="00871F5A"/>
    <w:rsid w:val="00872B49"/>
    <w:rsid w:val="00872EAD"/>
    <w:rsid w:val="00874848"/>
    <w:rsid w:val="00874D9F"/>
    <w:rsid w:val="00874EA7"/>
    <w:rsid w:val="00875C66"/>
    <w:rsid w:val="008767FF"/>
    <w:rsid w:val="00876DFC"/>
    <w:rsid w:val="00877C40"/>
    <w:rsid w:val="00880D4B"/>
    <w:rsid w:val="00880E2A"/>
    <w:rsid w:val="00880F0C"/>
    <w:rsid w:val="008812DE"/>
    <w:rsid w:val="00881491"/>
    <w:rsid w:val="00881BE6"/>
    <w:rsid w:val="00881C98"/>
    <w:rsid w:val="00881E31"/>
    <w:rsid w:val="008822C7"/>
    <w:rsid w:val="0088238C"/>
    <w:rsid w:val="00883342"/>
    <w:rsid w:val="00883D5E"/>
    <w:rsid w:val="00883D68"/>
    <w:rsid w:val="00883F8E"/>
    <w:rsid w:val="00884639"/>
    <w:rsid w:val="00884687"/>
    <w:rsid w:val="00884695"/>
    <w:rsid w:val="008846C8"/>
    <w:rsid w:val="00884923"/>
    <w:rsid w:val="00884EB3"/>
    <w:rsid w:val="00884F5A"/>
    <w:rsid w:val="0088533F"/>
    <w:rsid w:val="00885F96"/>
    <w:rsid w:val="00886035"/>
    <w:rsid w:val="0088603E"/>
    <w:rsid w:val="00886218"/>
    <w:rsid w:val="00886256"/>
    <w:rsid w:val="008865EE"/>
    <w:rsid w:val="008868D7"/>
    <w:rsid w:val="00886D9C"/>
    <w:rsid w:val="00886E1E"/>
    <w:rsid w:val="00886EF0"/>
    <w:rsid w:val="0088787E"/>
    <w:rsid w:val="00887E12"/>
    <w:rsid w:val="008903AF"/>
    <w:rsid w:val="008907DE"/>
    <w:rsid w:val="00890976"/>
    <w:rsid w:val="008909BD"/>
    <w:rsid w:val="00890EB0"/>
    <w:rsid w:val="00890F35"/>
    <w:rsid w:val="00890FEB"/>
    <w:rsid w:val="00892049"/>
    <w:rsid w:val="0089252C"/>
    <w:rsid w:val="00892BF7"/>
    <w:rsid w:val="00892E6E"/>
    <w:rsid w:val="008936FC"/>
    <w:rsid w:val="00893904"/>
    <w:rsid w:val="008946F8"/>
    <w:rsid w:val="00894975"/>
    <w:rsid w:val="00894B73"/>
    <w:rsid w:val="00894D44"/>
    <w:rsid w:val="00894FFC"/>
    <w:rsid w:val="00895BCD"/>
    <w:rsid w:val="008961DE"/>
    <w:rsid w:val="008965CC"/>
    <w:rsid w:val="008968B5"/>
    <w:rsid w:val="00896934"/>
    <w:rsid w:val="00896C79"/>
    <w:rsid w:val="00896E5E"/>
    <w:rsid w:val="00896F79"/>
    <w:rsid w:val="00896FAA"/>
    <w:rsid w:val="0089749A"/>
    <w:rsid w:val="00897AD2"/>
    <w:rsid w:val="00897BCA"/>
    <w:rsid w:val="00897E73"/>
    <w:rsid w:val="00897FA9"/>
    <w:rsid w:val="008A0206"/>
    <w:rsid w:val="008A048F"/>
    <w:rsid w:val="008A0AD3"/>
    <w:rsid w:val="008A0C43"/>
    <w:rsid w:val="008A0EB9"/>
    <w:rsid w:val="008A159C"/>
    <w:rsid w:val="008A1F38"/>
    <w:rsid w:val="008A26F5"/>
    <w:rsid w:val="008A2A47"/>
    <w:rsid w:val="008A2B97"/>
    <w:rsid w:val="008A2BB6"/>
    <w:rsid w:val="008A3341"/>
    <w:rsid w:val="008A36D6"/>
    <w:rsid w:val="008A397A"/>
    <w:rsid w:val="008A3A4E"/>
    <w:rsid w:val="008A3BF3"/>
    <w:rsid w:val="008A3CB4"/>
    <w:rsid w:val="008A3DBE"/>
    <w:rsid w:val="008A4550"/>
    <w:rsid w:val="008A4660"/>
    <w:rsid w:val="008A4913"/>
    <w:rsid w:val="008A49E8"/>
    <w:rsid w:val="008A4C02"/>
    <w:rsid w:val="008A55AF"/>
    <w:rsid w:val="008A58FD"/>
    <w:rsid w:val="008A5D82"/>
    <w:rsid w:val="008A6108"/>
    <w:rsid w:val="008A6764"/>
    <w:rsid w:val="008A74E3"/>
    <w:rsid w:val="008A7517"/>
    <w:rsid w:val="008A769B"/>
    <w:rsid w:val="008A77AA"/>
    <w:rsid w:val="008A7F23"/>
    <w:rsid w:val="008B00C5"/>
    <w:rsid w:val="008B02EA"/>
    <w:rsid w:val="008B0858"/>
    <w:rsid w:val="008B0C9D"/>
    <w:rsid w:val="008B1949"/>
    <w:rsid w:val="008B1BC9"/>
    <w:rsid w:val="008B1EFF"/>
    <w:rsid w:val="008B2199"/>
    <w:rsid w:val="008B251D"/>
    <w:rsid w:val="008B2847"/>
    <w:rsid w:val="008B2933"/>
    <w:rsid w:val="008B2CF7"/>
    <w:rsid w:val="008B31A1"/>
    <w:rsid w:val="008B3433"/>
    <w:rsid w:val="008B348E"/>
    <w:rsid w:val="008B394D"/>
    <w:rsid w:val="008B3E27"/>
    <w:rsid w:val="008B4114"/>
    <w:rsid w:val="008B440C"/>
    <w:rsid w:val="008B4770"/>
    <w:rsid w:val="008B4F8F"/>
    <w:rsid w:val="008B54BA"/>
    <w:rsid w:val="008B573F"/>
    <w:rsid w:val="008B5759"/>
    <w:rsid w:val="008B5774"/>
    <w:rsid w:val="008B5A5C"/>
    <w:rsid w:val="008B5E7F"/>
    <w:rsid w:val="008B60E3"/>
    <w:rsid w:val="008B6796"/>
    <w:rsid w:val="008B6DB4"/>
    <w:rsid w:val="008B7811"/>
    <w:rsid w:val="008B7A7E"/>
    <w:rsid w:val="008C0839"/>
    <w:rsid w:val="008C08F4"/>
    <w:rsid w:val="008C0DC2"/>
    <w:rsid w:val="008C14F9"/>
    <w:rsid w:val="008C1B4F"/>
    <w:rsid w:val="008C1B8E"/>
    <w:rsid w:val="008C20CD"/>
    <w:rsid w:val="008C2C3D"/>
    <w:rsid w:val="008C3B58"/>
    <w:rsid w:val="008C4A96"/>
    <w:rsid w:val="008C4DF5"/>
    <w:rsid w:val="008C4E99"/>
    <w:rsid w:val="008C574A"/>
    <w:rsid w:val="008C5933"/>
    <w:rsid w:val="008C623C"/>
    <w:rsid w:val="008C6C23"/>
    <w:rsid w:val="008C742A"/>
    <w:rsid w:val="008C758A"/>
    <w:rsid w:val="008C75C3"/>
    <w:rsid w:val="008C7892"/>
    <w:rsid w:val="008D0522"/>
    <w:rsid w:val="008D07D5"/>
    <w:rsid w:val="008D10B8"/>
    <w:rsid w:val="008D1162"/>
    <w:rsid w:val="008D1478"/>
    <w:rsid w:val="008D2019"/>
    <w:rsid w:val="008D2298"/>
    <w:rsid w:val="008D2779"/>
    <w:rsid w:val="008D2EBF"/>
    <w:rsid w:val="008D31C1"/>
    <w:rsid w:val="008D334F"/>
    <w:rsid w:val="008D3421"/>
    <w:rsid w:val="008D426D"/>
    <w:rsid w:val="008D4357"/>
    <w:rsid w:val="008D495E"/>
    <w:rsid w:val="008D4F63"/>
    <w:rsid w:val="008D50F8"/>
    <w:rsid w:val="008D53E0"/>
    <w:rsid w:val="008D5B33"/>
    <w:rsid w:val="008D605D"/>
    <w:rsid w:val="008D61B3"/>
    <w:rsid w:val="008D6646"/>
    <w:rsid w:val="008D6D5B"/>
    <w:rsid w:val="008D7BF4"/>
    <w:rsid w:val="008E01F5"/>
    <w:rsid w:val="008E0890"/>
    <w:rsid w:val="008E0D86"/>
    <w:rsid w:val="008E10A4"/>
    <w:rsid w:val="008E128C"/>
    <w:rsid w:val="008E1482"/>
    <w:rsid w:val="008E253B"/>
    <w:rsid w:val="008E2553"/>
    <w:rsid w:val="008E2D9E"/>
    <w:rsid w:val="008E38BB"/>
    <w:rsid w:val="008E4329"/>
    <w:rsid w:val="008E49E5"/>
    <w:rsid w:val="008E4EA9"/>
    <w:rsid w:val="008E4F89"/>
    <w:rsid w:val="008E51D5"/>
    <w:rsid w:val="008E5CAB"/>
    <w:rsid w:val="008E609E"/>
    <w:rsid w:val="008E6965"/>
    <w:rsid w:val="008E6D05"/>
    <w:rsid w:val="008E6FF7"/>
    <w:rsid w:val="008E70EF"/>
    <w:rsid w:val="008E718D"/>
    <w:rsid w:val="008E7328"/>
    <w:rsid w:val="008E7859"/>
    <w:rsid w:val="008F03BD"/>
    <w:rsid w:val="008F0B61"/>
    <w:rsid w:val="008F0CA1"/>
    <w:rsid w:val="008F130C"/>
    <w:rsid w:val="008F156E"/>
    <w:rsid w:val="008F1A32"/>
    <w:rsid w:val="008F1F69"/>
    <w:rsid w:val="008F2279"/>
    <w:rsid w:val="008F233C"/>
    <w:rsid w:val="008F234F"/>
    <w:rsid w:val="008F2B7C"/>
    <w:rsid w:val="008F2C97"/>
    <w:rsid w:val="008F34F1"/>
    <w:rsid w:val="008F3803"/>
    <w:rsid w:val="008F38C1"/>
    <w:rsid w:val="008F3A4C"/>
    <w:rsid w:val="008F3CAA"/>
    <w:rsid w:val="008F3E91"/>
    <w:rsid w:val="008F4817"/>
    <w:rsid w:val="008F4FAE"/>
    <w:rsid w:val="008F5550"/>
    <w:rsid w:val="008F5DC8"/>
    <w:rsid w:val="008F5ED2"/>
    <w:rsid w:val="008F63FA"/>
    <w:rsid w:val="008F6633"/>
    <w:rsid w:val="008F676B"/>
    <w:rsid w:val="008F676D"/>
    <w:rsid w:val="008F6986"/>
    <w:rsid w:val="008F6A77"/>
    <w:rsid w:val="008F7ADB"/>
    <w:rsid w:val="009001FA"/>
    <w:rsid w:val="009003BD"/>
    <w:rsid w:val="00900ACA"/>
    <w:rsid w:val="00900C59"/>
    <w:rsid w:val="00900FA5"/>
    <w:rsid w:val="00901573"/>
    <w:rsid w:val="00901C0F"/>
    <w:rsid w:val="00901F0A"/>
    <w:rsid w:val="00902667"/>
    <w:rsid w:val="00903075"/>
    <w:rsid w:val="0090328C"/>
    <w:rsid w:val="00903556"/>
    <w:rsid w:val="009037F3"/>
    <w:rsid w:val="00904401"/>
    <w:rsid w:val="00904667"/>
    <w:rsid w:val="00905517"/>
    <w:rsid w:val="009057A3"/>
    <w:rsid w:val="00905D92"/>
    <w:rsid w:val="009068C8"/>
    <w:rsid w:val="00906CD9"/>
    <w:rsid w:val="00906E55"/>
    <w:rsid w:val="00906FDA"/>
    <w:rsid w:val="0090710D"/>
    <w:rsid w:val="009071D0"/>
    <w:rsid w:val="0090726F"/>
    <w:rsid w:val="0090738C"/>
    <w:rsid w:val="00907939"/>
    <w:rsid w:val="00910346"/>
    <w:rsid w:val="0091065D"/>
    <w:rsid w:val="009108CE"/>
    <w:rsid w:val="00910C25"/>
    <w:rsid w:val="00910FC5"/>
    <w:rsid w:val="009111C7"/>
    <w:rsid w:val="00911444"/>
    <w:rsid w:val="00911851"/>
    <w:rsid w:val="00912390"/>
    <w:rsid w:val="009126FF"/>
    <w:rsid w:val="0091294B"/>
    <w:rsid w:val="00912976"/>
    <w:rsid w:val="00912988"/>
    <w:rsid w:val="00912BA1"/>
    <w:rsid w:val="00912F24"/>
    <w:rsid w:val="00912F7E"/>
    <w:rsid w:val="009132AA"/>
    <w:rsid w:val="00913CF6"/>
    <w:rsid w:val="00914270"/>
    <w:rsid w:val="00914DFC"/>
    <w:rsid w:val="009150F1"/>
    <w:rsid w:val="00915326"/>
    <w:rsid w:val="009156A1"/>
    <w:rsid w:val="00915768"/>
    <w:rsid w:val="00915DE8"/>
    <w:rsid w:val="00916173"/>
    <w:rsid w:val="009162B2"/>
    <w:rsid w:val="00916304"/>
    <w:rsid w:val="009165B9"/>
    <w:rsid w:val="00916E60"/>
    <w:rsid w:val="009170E9"/>
    <w:rsid w:val="0091735D"/>
    <w:rsid w:val="009175E8"/>
    <w:rsid w:val="00917FEC"/>
    <w:rsid w:val="009202CE"/>
    <w:rsid w:val="00920D7F"/>
    <w:rsid w:val="00920EE0"/>
    <w:rsid w:val="00920EF8"/>
    <w:rsid w:val="009210CA"/>
    <w:rsid w:val="00921103"/>
    <w:rsid w:val="00921518"/>
    <w:rsid w:val="00921702"/>
    <w:rsid w:val="00921739"/>
    <w:rsid w:val="00921ACE"/>
    <w:rsid w:val="00921B85"/>
    <w:rsid w:val="00922161"/>
    <w:rsid w:val="0092218F"/>
    <w:rsid w:val="00922A40"/>
    <w:rsid w:val="009230FE"/>
    <w:rsid w:val="009231CF"/>
    <w:rsid w:val="009233B9"/>
    <w:rsid w:val="00923B18"/>
    <w:rsid w:val="00923D84"/>
    <w:rsid w:val="00924041"/>
    <w:rsid w:val="00924CA8"/>
    <w:rsid w:val="0092505D"/>
    <w:rsid w:val="0092564E"/>
    <w:rsid w:val="00925699"/>
    <w:rsid w:val="009256BE"/>
    <w:rsid w:val="00925B65"/>
    <w:rsid w:val="00925DF3"/>
    <w:rsid w:val="00925E93"/>
    <w:rsid w:val="0092603F"/>
    <w:rsid w:val="0092629D"/>
    <w:rsid w:val="00926313"/>
    <w:rsid w:val="00926459"/>
    <w:rsid w:val="00926C00"/>
    <w:rsid w:val="00927707"/>
    <w:rsid w:val="00927C22"/>
    <w:rsid w:val="0093022A"/>
    <w:rsid w:val="00930508"/>
    <w:rsid w:val="009305F2"/>
    <w:rsid w:val="00930898"/>
    <w:rsid w:val="009311F9"/>
    <w:rsid w:val="00931382"/>
    <w:rsid w:val="0093198B"/>
    <w:rsid w:val="00931B17"/>
    <w:rsid w:val="00931FC7"/>
    <w:rsid w:val="009325FD"/>
    <w:rsid w:val="009326D5"/>
    <w:rsid w:val="00932811"/>
    <w:rsid w:val="009331FC"/>
    <w:rsid w:val="00933A53"/>
    <w:rsid w:val="00933DD0"/>
    <w:rsid w:val="00934045"/>
    <w:rsid w:val="00934088"/>
    <w:rsid w:val="009346F5"/>
    <w:rsid w:val="00934DF6"/>
    <w:rsid w:val="00935364"/>
    <w:rsid w:val="00935CC7"/>
    <w:rsid w:val="00935F75"/>
    <w:rsid w:val="009361A4"/>
    <w:rsid w:val="00936F73"/>
    <w:rsid w:val="009375B4"/>
    <w:rsid w:val="00940163"/>
    <w:rsid w:val="009401FC"/>
    <w:rsid w:val="009402A0"/>
    <w:rsid w:val="0094030B"/>
    <w:rsid w:val="009411B3"/>
    <w:rsid w:val="009411DB"/>
    <w:rsid w:val="0094145C"/>
    <w:rsid w:val="00941485"/>
    <w:rsid w:val="009429FF"/>
    <w:rsid w:val="00942E69"/>
    <w:rsid w:val="009436C0"/>
    <w:rsid w:val="00943730"/>
    <w:rsid w:val="009438CF"/>
    <w:rsid w:val="00943C5E"/>
    <w:rsid w:val="00943CA3"/>
    <w:rsid w:val="00943F7B"/>
    <w:rsid w:val="0094418A"/>
    <w:rsid w:val="00944497"/>
    <w:rsid w:val="009444D0"/>
    <w:rsid w:val="0094470E"/>
    <w:rsid w:val="009447C3"/>
    <w:rsid w:val="009447D3"/>
    <w:rsid w:val="00944F43"/>
    <w:rsid w:val="009453DB"/>
    <w:rsid w:val="009458B6"/>
    <w:rsid w:val="009458BD"/>
    <w:rsid w:val="00945C3F"/>
    <w:rsid w:val="00945D84"/>
    <w:rsid w:val="00945F39"/>
    <w:rsid w:val="0094609F"/>
    <w:rsid w:val="00946270"/>
    <w:rsid w:val="00946272"/>
    <w:rsid w:val="00946A85"/>
    <w:rsid w:val="00947043"/>
    <w:rsid w:val="009476D0"/>
    <w:rsid w:val="009500B9"/>
    <w:rsid w:val="00950AA2"/>
    <w:rsid w:val="00950DA3"/>
    <w:rsid w:val="00950F08"/>
    <w:rsid w:val="00952057"/>
    <w:rsid w:val="009520F5"/>
    <w:rsid w:val="00952198"/>
    <w:rsid w:val="0095225E"/>
    <w:rsid w:val="00952650"/>
    <w:rsid w:val="009527B3"/>
    <w:rsid w:val="00952BC5"/>
    <w:rsid w:val="00952C2A"/>
    <w:rsid w:val="00952EA8"/>
    <w:rsid w:val="00952FBB"/>
    <w:rsid w:val="0095304F"/>
    <w:rsid w:val="00953399"/>
    <w:rsid w:val="00953E92"/>
    <w:rsid w:val="0095400A"/>
    <w:rsid w:val="0095438A"/>
    <w:rsid w:val="009544E6"/>
    <w:rsid w:val="00954709"/>
    <w:rsid w:val="00954764"/>
    <w:rsid w:val="00954A8F"/>
    <w:rsid w:val="00954BB6"/>
    <w:rsid w:val="009558F8"/>
    <w:rsid w:val="00955A49"/>
    <w:rsid w:val="00955A82"/>
    <w:rsid w:val="00955EDE"/>
    <w:rsid w:val="009563FF"/>
    <w:rsid w:val="0095657D"/>
    <w:rsid w:val="009566D2"/>
    <w:rsid w:val="009568CF"/>
    <w:rsid w:val="00956F50"/>
    <w:rsid w:val="00957115"/>
    <w:rsid w:val="00957423"/>
    <w:rsid w:val="00957493"/>
    <w:rsid w:val="00960767"/>
    <w:rsid w:val="00960AD9"/>
    <w:rsid w:val="00960ED1"/>
    <w:rsid w:val="00960F37"/>
    <w:rsid w:val="009613FD"/>
    <w:rsid w:val="0096147F"/>
    <w:rsid w:val="00962305"/>
    <w:rsid w:val="00962821"/>
    <w:rsid w:val="00962ACD"/>
    <w:rsid w:val="00962E1A"/>
    <w:rsid w:val="0096311D"/>
    <w:rsid w:val="00963309"/>
    <w:rsid w:val="00963532"/>
    <w:rsid w:val="009647AB"/>
    <w:rsid w:val="00964871"/>
    <w:rsid w:val="009649BD"/>
    <w:rsid w:val="0096554D"/>
    <w:rsid w:val="0096559C"/>
    <w:rsid w:val="0096572C"/>
    <w:rsid w:val="00965FEC"/>
    <w:rsid w:val="00966C4F"/>
    <w:rsid w:val="00966DBC"/>
    <w:rsid w:val="00967008"/>
    <w:rsid w:val="009672B9"/>
    <w:rsid w:val="00967541"/>
    <w:rsid w:val="00967783"/>
    <w:rsid w:val="00967D5D"/>
    <w:rsid w:val="00970042"/>
    <w:rsid w:val="009707BD"/>
    <w:rsid w:val="0097098F"/>
    <w:rsid w:val="00970F02"/>
    <w:rsid w:val="00971067"/>
    <w:rsid w:val="00971985"/>
    <w:rsid w:val="00971B90"/>
    <w:rsid w:val="00971BBB"/>
    <w:rsid w:val="00971E56"/>
    <w:rsid w:val="00972021"/>
    <w:rsid w:val="009725D9"/>
    <w:rsid w:val="009726B5"/>
    <w:rsid w:val="00972A73"/>
    <w:rsid w:val="00972C61"/>
    <w:rsid w:val="00973296"/>
    <w:rsid w:val="00973C92"/>
    <w:rsid w:val="009740A3"/>
    <w:rsid w:val="0097435A"/>
    <w:rsid w:val="009744DB"/>
    <w:rsid w:val="00974BA6"/>
    <w:rsid w:val="00975489"/>
    <w:rsid w:val="00975ADB"/>
    <w:rsid w:val="00975B0D"/>
    <w:rsid w:val="00975D17"/>
    <w:rsid w:val="0097649E"/>
    <w:rsid w:val="0097766D"/>
    <w:rsid w:val="009777B9"/>
    <w:rsid w:val="00980134"/>
    <w:rsid w:val="00980182"/>
    <w:rsid w:val="00980297"/>
    <w:rsid w:val="0098036C"/>
    <w:rsid w:val="00980AEA"/>
    <w:rsid w:val="00981626"/>
    <w:rsid w:val="0098170A"/>
    <w:rsid w:val="00982046"/>
    <w:rsid w:val="0098242D"/>
    <w:rsid w:val="009828C4"/>
    <w:rsid w:val="009828F4"/>
    <w:rsid w:val="00982AB6"/>
    <w:rsid w:val="00982B25"/>
    <w:rsid w:val="00983697"/>
    <w:rsid w:val="00984167"/>
    <w:rsid w:val="0098456D"/>
    <w:rsid w:val="0098470B"/>
    <w:rsid w:val="00984A32"/>
    <w:rsid w:val="00984BFB"/>
    <w:rsid w:val="00984DBF"/>
    <w:rsid w:val="00984EA8"/>
    <w:rsid w:val="0098579E"/>
    <w:rsid w:val="00985C22"/>
    <w:rsid w:val="00985CFF"/>
    <w:rsid w:val="00985F14"/>
    <w:rsid w:val="00986F58"/>
    <w:rsid w:val="00987B27"/>
    <w:rsid w:val="00987F20"/>
    <w:rsid w:val="009907A7"/>
    <w:rsid w:val="009908FB"/>
    <w:rsid w:val="00991118"/>
    <w:rsid w:val="009912EA"/>
    <w:rsid w:val="009917C1"/>
    <w:rsid w:val="00991856"/>
    <w:rsid w:val="009922C8"/>
    <w:rsid w:val="009926ED"/>
    <w:rsid w:val="00992F88"/>
    <w:rsid w:val="009934C2"/>
    <w:rsid w:val="00993533"/>
    <w:rsid w:val="00993782"/>
    <w:rsid w:val="009939EF"/>
    <w:rsid w:val="00993C81"/>
    <w:rsid w:val="00993E42"/>
    <w:rsid w:val="00993E69"/>
    <w:rsid w:val="009941D6"/>
    <w:rsid w:val="0099438A"/>
    <w:rsid w:val="0099473C"/>
    <w:rsid w:val="009952E0"/>
    <w:rsid w:val="00995325"/>
    <w:rsid w:val="00995473"/>
    <w:rsid w:val="00995596"/>
    <w:rsid w:val="009959F3"/>
    <w:rsid w:val="00995BA8"/>
    <w:rsid w:val="00995F7F"/>
    <w:rsid w:val="00996E18"/>
    <w:rsid w:val="00997711"/>
    <w:rsid w:val="00997844"/>
    <w:rsid w:val="00997A63"/>
    <w:rsid w:val="00997C98"/>
    <w:rsid w:val="00997E39"/>
    <w:rsid w:val="009A08DD"/>
    <w:rsid w:val="009A0C25"/>
    <w:rsid w:val="009A0E2F"/>
    <w:rsid w:val="009A0EB9"/>
    <w:rsid w:val="009A11CE"/>
    <w:rsid w:val="009A18DE"/>
    <w:rsid w:val="009A1D21"/>
    <w:rsid w:val="009A1D32"/>
    <w:rsid w:val="009A2B32"/>
    <w:rsid w:val="009A334E"/>
    <w:rsid w:val="009A33C5"/>
    <w:rsid w:val="009A3461"/>
    <w:rsid w:val="009A3707"/>
    <w:rsid w:val="009A3983"/>
    <w:rsid w:val="009A435F"/>
    <w:rsid w:val="009A5438"/>
    <w:rsid w:val="009A5643"/>
    <w:rsid w:val="009A5794"/>
    <w:rsid w:val="009A5AF0"/>
    <w:rsid w:val="009A61C7"/>
    <w:rsid w:val="009A7442"/>
    <w:rsid w:val="009B0161"/>
    <w:rsid w:val="009B01D7"/>
    <w:rsid w:val="009B06EF"/>
    <w:rsid w:val="009B1208"/>
    <w:rsid w:val="009B1E84"/>
    <w:rsid w:val="009B21D9"/>
    <w:rsid w:val="009B2B24"/>
    <w:rsid w:val="009B2CAD"/>
    <w:rsid w:val="009B30BD"/>
    <w:rsid w:val="009B3504"/>
    <w:rsid w:val="009B3708"/>
    <w:rsid w:val="009B41C4"/>
    <w:rsid w:val="009B4943"/>
    <w:rsid w:val="009B4B32"/>
    <w:rsid w:val="009B4B85"/>
    <w:rsid w:val="009B5145"/>
    <w:rsid w:val="009B57D7"/>
    <w:rsid w:val="009B5C80"/>
    <w:rsid w:val="009B5C97"/>
    <w:rsid w:val="009B62AE"/>
    <w:rsid w:val="009B6331"/>
    <w:rsid w:val="009B6718"/>
    <w:rsid w:val="009B6983"/>
    <w:rsid w:val="009B6BBB"/>
    <w:rsid w:val="009B6D93"/>
    <w:rsid w:val="009B6DD7"/>
    <w:rsid w:val="009B72C8"/>
    <w:rsid w:val="009C076D"/>
    <w:rsid w:val="009C0A23"/>
    <w:rsid w:val="009C1450"/>
    <w:rsid w:val="009C156C"/>
    <w:rsid w:val="009C1584"/>
    <w:rsid w:val="009C18D7"/>
    <w:rsid w:val="009C1BF7"/>
    <w:rsid w:val="009C1D7B"/>
    <w:rsid w:val="009C1E48"/>
    <w:rsid w:val="009C2193"/>
    <w:rsid w:val="009C25B2"/>
    <w:rsid w:val="009C28F0"/>
    <w:rsid w:val="009C2D5C"/>
    <w:rsid w:val="009C31EE"/>
    <w:rsid w:val="009C389A"/>
    <w:rsid w:val="009C398E"/>
    <w:rsid w:val="009C39D7"/>
    <w:rsid w:val="009C4442"/>
    <w:rsid w:val="009C44F4"/>
    <w:rsid w:val="009C49BA"/>
    <w:rsid w:val="009C4AED"/>
    <w:rsid w:val="009C5066"/>
    <w:rsid w:val="009C510C"/>
    <w:rsid w:val="009C51D9"/>
    <w:rsid w:val="009C545A"/>
    <w:rsid w:val="009C5566"/>
    <w:rsid w:val="009C5650"/>
    <w:rsid w:val="009C5B55"/>
    <w:rsid w:val="009C5D43"/>
    <w:rsid w:val="009C60CB"/>
    <w:rsid w:val="009C6A68"/>
    <w:rsid w:val="009C6AE3"/>
    <w:rsid w:val="009C71AE"/>
    <w:rsid w:val="009C7604"/>
    <w:rsid w:val="009C7896"/>
    <w:rsid w:val="009D023D"/>
    <w:rsid w:val="009D0785"/>
    <w:rsid w:val="009D0A3B"/>
    <w:rsid w:val="009D0E4E"/>
    <w:rsid w:val="009D0F77"/>
    <w:rsid w:val="009D19D2"/>
    <w:rsid w:val="009D1A25"/>
    <w:rsid w:val="009D1D0B"/>
    <w:rsid w:val="009D27EA"/>
    <w:rsid w:val="009D3097"/>
    <w:rsid w:val="009D35AF"/>
    <w:rsid w:val="009D3654"/>
    <w:rsid w:val="009D391D"/>
    <w:rsid w:val="009D3D0B"/>
    <w:rsid w:val="009D3E86"/>
    <w:rsid w:val="009D4336"/>
    <w:rsid w:val="009D43E7"/>
    <w:rsid w:val="009D4C89"/>
    <w:rsid w:val="009D519A"/>
    <w:rsid w:val="009D51F1"/>
    <w:rsid w:val="009D54EF"/>
    <w:rsid w:val="009D557C"/>
    <w:rsid w:val="009D5E92"/>
    <w:rsid w:val="009D5EF4"/>
    <w:rsid w:val="009D61B9"/>
    <w:rsid w:val="009D6B92"/>
    <w:rsid w:val="009D6CD7"/>
    <w:rsid w:val="009D70B8"/>
    <w:rsid w:val="009D7666"/>
    <w:rsid w:val="009D7708"/>
    <w:rsid w:val="009D77A2"/>
    <w:rsid w:val="009D77AC"/>
    <w:rsid w:val="009D797B"/>
    <w:rsid w:val="009E010A"/>
    <w:rsid w:val="009E0CD2"/>
    <w:rsid w:val="009E0F61"/>
    <w:rsid w:val="009E1013"/>
    <w:rsid w:val="009E11A7"/>
    <w:rsid w:val="009E135A"/>
    <w:rsid w:val="009E1887"/>
    <w:rsid w:val="009E1B8B"/>
    <w:rsid w:val="009E2185"/>
    <w:rsid w:val="009E265A"/>
    <w:rsid w:val="009E2B59"/>
    <w:rsid w:val="009E349E"/>
    <w:rsid w:val="009E389B"/>
    <w:rsid w:val="009E39F9"/>
    <w:rsid w:val="009E3B98"/>
    <w:rsid w:val="009E3DE7"/>
    <w:rsid w:val="009E42B6"/>
    <w:rsid w:val="009E43E3"/>
    <w:rsid w:val="009E4633"/>
    <w:rsid w:val="009E4D94"/>
    <w:rsid w:val="009E5B2B"/>
    <w:rsid w:val="009E5C33"/>
    <w:rsid w:val="009E5C87"/>
    <w:rsid w:val="009E5DCD"/>
    <w:rsid w:val="009E5F12"/>
    <w:rsid w:val="009E61AE"/>
    <w:rsid w:val="009E64D8"/>
    <w:rsid w:val="009E66E7"/>
    <w:rsid w:val="009E6A1E"/>
    <w:rsid w:val="009E6C7A"/>
    <w:rsid w:val="009E6F7A"/>
    <w:rsid w:val="009E7707"/>
    <w:rsid w:val="009E7BB1"/>
    <w:rsid w:val="009E7D07"/>
    <w:rsid w:val="009E7DAA"/>
    <w:rsid w:val="009F02DC"/>
    <w:rsid w:val="009F0594"/>
    <w:rsid w:val="009F0C45"/>
    <w:rsid w:val="009F101A"/>
    <w:rsid w:val="009F145C"/>
    <w:rsid w:val="009F1DFC"/>
    <w:rsid w:val="009F31EB"/>
    <w:rsid w:val="009F3503"/>
    <w:rsid w:val="009F3A2E"/>
    <w:rsid w:val="009F3A8F"/>
    <w:rsid w:val="009F3A92"/>
    <w:rsid w:val="009F3C13"/>
    <w:rsid w:val="009F3CB2"/>
    <w:rsid w:val="009F3EF7"/>
    <w:rsid w:val="009F40E0"/>
    <w:rsid w:val="009F40F6"/>
    <w:rsid w:val="009F444A"/>
    <w:rsid w:val="009F46AF"/>
    <w:rsid w:val="009F4C5B"/>
    <w:rsid w:val="009F4F0D"/>
    <w:rsid w:val="009F4F5F"/>
    <w:rsid w:val="009F500A"/>
    <w:rsid w:val="009F517F"/>
    <w:rsid w:val="009F55FC"/>
    <w:rsid w:val="009F579A"/>
    <w:rsid w:val="009F62A7"/>
    <w:rsid w:val="009F66AB"/>
    <w:rsid w:val="009F6DDE"/>
    <w:rsid w:val="009F709D"/>
    <w:rsid w:val="00A0095A"/>
    <w:rsid w:val="00A01012"/>
    <w:rsid w:val="00A0186C"/>
    <w:rsid w:val="00A01957"/>
    <w:rsid w:val="00A01B3D"/>
    <w:rsid w:val="00A01C76"/>
    <w:rsid w:val="00A02205"/>
    <w:rsid w:val="00A02250"/>
    <w:rsid w:val="00A02E17"/>
    <w:rsid w:val="00A032A2"/>
    <w:rsid w:val="00A03733"/>
    <w:rsid w:val="00A039E1"/>
    <w:rsid w:val="00A03B9D"/>
    <w:rsid w:val="00A045BF"/>
    <w:rsid w:val="00A04B58"/>
    <w:rsid w:val="00A04F27"/>
    <w:rsid w:val="00A04F61"/>
    <w:rsid w:val="00A05078"/>
    <w:rsid w:val="00A0540F"/>
    <w:rsid w:val="00A05851"/>
    <w:rsid w:val="00A06092"/>
    <w:rsid w:val="00A065BF"/>
    <w:rsid w:val="00A06619"/>
    <w:rsid w:val="00A06663"/>
    <w:rsid w:val="00A068F9"/>
    <w:rsid w:val="00A1029F"/>
    <w:rsid w:val="00A10573"/>
    <w:rsid w:val="00A10A8F"/>
    <w:rsid w:val="00A10BFE"/>
    <w:rsid w:val="00A10C6D"/>
    <w:rsid w:val="00A10F06"/>
    <w:rsid w:val="00A11230"/>
    <w:rsid w:val="00A11AFE"/>
    <w:rsid w:val="00A1206A"/>
    <w:rsid w:val="00A121C8"/>
    <w:rsid w:val="00A122B7"/>
    <w:rsid w:val="00A1291A"/>
    <w:rsid w:val="00A12974"/>
    <w:rsid w:val="00A133A4"/>
    <w:rsid w:val="00A134AB"/>
    <w:rsid w:val="00A13722"/>
    <w:rsid w:val="00A13C67"/>
    <w:rsid w:val="00A141C7"/>
    <w:rsid w:val="00A148A7"/>
    <w:rsid w:val="00A149D5"/>
    <w:rsid w:val="00A154A5"/>
    <w:rsid w:val="00A15A9B"/>
    <w:rsid w:val="00A1610C"/>
    <w:rsid w:val="00A1619F"/>
    <w:rsid w:val="00A16930"/>
    <w:rsid w:val="00A16B2E"/>
    <w:rsid w:val="00A16C87"/>
    <w:rsid w:val="00A16ED4"/>
    <w:rsid w:val="00A1700D"/>
    <w:rsid w:val="00A179B0"/>
    <w:rsid w:val="00A17ED9"/>
    <w:rsid w:val="00A2007B"/>
    <w:rsid w:val="00A204A6"/>
    <w:rsid w:val="00A2062D"/>
    <w:rsid w:val="00A20FD6"/>
    <w:rsid w:val="00A2148C"/>
    <w:rsid w:val="00A21587"/>
    <w:rsid w:val="00A217C3"/>
    <w:rsid w:val="00A218B9"/>
    <w:rsid w:val="00A21ADD"/>
    <w:rsid w:val="00A21E4B"/>
    <w:rsid w:val="00A2236C"/>
    <w:rsid w:val="00A22F2E"/>
    <w:rsid w:val="00A22FF6"/>
    <w:rsid w:val="00A2339A"/>
    <w:rsid w:val="00A23669"/>
    <w:rsid w:val="00A23754"/>
    <w:rsid w:val="00A23C27"/>
    <w:rsid w:val="00A23D12"/>
    <w:rsid w:val="00A24141"/>
    <w:rsid w:val="00A241EE"/>
    <w:rsid w:val="00A241EF"/>
    <w:rsid w:val="00A24626"/>
    <w:rsid w:val="00A246D5"/>
    <w:rsid w:val="00A24A77"/>
    <w:rsid w:val="00A25035"/>
    <w:rsid w:val="00A252A4"/>
    <w:rsid w:val="00A255C2"/>
    <w:rsid w:val="00A2606F"/>
    <w:rsid w:val="00A26193"/>
    <w:rsid w:val="00A262FB"/>
    <w:rsid w:val="00A27727"/>
    <w:rsid w:val="00A27915"/>
    <w:rsid w:val="00A3056C"/>
    <w:rsid w:val="00A305E0"/>
    <w:rsid w:val="00A30BEC"/>
    <w:rsid w:val="00A30BF4"/>
    <w:rsid w:val="00A30D2F"/>
    <w:rsid w:val="00A30D38"/>
    <w:rsid w:val="00A31219"/>
    <w:rsid w:val="00A31924"/>
    <w:rsid w:val="00A31CFF"/>
    <w:rsid w:val="00A31D4B"/>
    <w:rsid w:val="00A31E2A"/>
    <w:rsid w:val="00A32233"/>
    <w:rsid w:val="00A32CB1"/>
    <w:rsid w:val="00A32E6F"/>
    <w:rsid w:val="00A33874"/>
    <w:rsid w:val="00A338B9"/>
    <w:rsid w:val="00A339FC"/>
    <w:rsid w:val="00A33ACC"/>
    <w:rsid w:val="00A33F15"/>
    <w:rsid w:val="00A34051"/>
    <w:rsid w:val="00A34126"/>
    <w:rsid w:val="00A34829"/>
    <w:rsid w:val="00A34E1C"/>
    <w:rsid w:val="00A352E6"/>
    <w:rsid w:val="00A356A0"/>
    <w:rsid w:val="00A3593B"/>
    <w:rsid w:val="00A35EC4"/>
    <w:rsid w:val="00A36013"/>
    <w:rsid w:val="00A36278"/>
    <w:rsid w:val="00A36315"/>
    <w:rsid w:val="00A36582"/>
    <w:rsid w:val="00A369D3"/>
    <w:rsid w:val="00A36E5B"/>
    <w:rsid w:val="00A36F8B"/>
    <w:rsid w:val="00A37551"/>
    <w:rsid w:val="00A3771B"/>
    <w:rsid w:val="00A40585"/>
    <w:rsid w:val="00A4059D"/>
    <w:rsid w:val="00A41FEA"/>
    <w:rsid w:val="00A42256"/>
    <w:rsid w:val="00A4274D"/>
    <w:rsid w:val="00A4289B"/>
    <w:rsid w:val="00A42DAC"/>
    <w:rsid w:val="00A42F33"/>
    <w:rsid w:val="00A43064"/>
    <w:rsid w:val="00A430F6"/>
    <w:rsid w:val="00A43392"/>
    <w:rsid w:val="00A434E0"/>
    <w:rsid w:val="00A434E5"/>
    <w:rsid w:val="00A43B23"/>
    <w:rsid w:val="00A43C4F"/>
    <w:rsid w:val="00A43C9B"/>
    <w:rsid w:val="00A4430E"/>
    <w:rsid w:val="00A444BC"/>
    <w:rsid w:val="00A4454F"/>
    <w:rsid w:val="00A44DF1"/>
    <w:rsid w:val="00A44E00"/>
    <w:rsid w:val="00A45939"/>
    <w:rsid w:val="00A45CBC"/>
    <w:rsid w:val="00A4612F"/>
    <w:rsid w:val="00A46390"/>
    <w:rsid w:val="00A463B0"/>
    <w:rsid w:val="00A469F7"/>
    <w:rsid w:val="00A46CEF"/>
    <w:rsid w:val="00A47D46"/>
    <w:rsid w:val="00A47EE5"/>
    <w:rsid w:val="00A50263"/>
    <w:rsid w:val="00A50572"/>
    <w:rsid w:val="00A50B59"/>
    <w:rsid w:val="00A51596"/>
    <w:rsid w:val="00A515D6"/>
    <w:rsid w:val="00A51603"/>
    <w:rsid w:val="00A519F7"/>
    <w:rsid w:val="00A51C18"/>
    <w:rsid w:val="00A51E67"/>
    <w:rsid w:val="00A51F9B"/>
    <w:rsid w:val="00A52BCB"/>
    <w:rsid w:val="00A52C23"/>
    <w:rsid w:val="00A52F5D"/>
    <w:rsid w:val="00A530CC"/>
    <w:rsid w:val="00A53663"/>
    <w:rsid w:val="00A54896"/>
    <w:rsid w:val="00A54937"/>
    <w:rsid w:val="00A5507F"/>
    <w:rsid w:val="00A55342"/>
    <w:rsid w:val="00A55CA4"/>
    <w:rsid w:val="00A55CB2"/>
    <w:rsid w:val="00A55E91"/>
    <w:rsid w:val="00A55FEE"/>
    <w:rsid w:val="00A563A4"/>
    <w:rsid w:val="00A56472"/>
    <w:rsid w:val="00A5781A"/>
    <w:rsid w:val="00A57E0E"/>
    <w:rsid w:val="00A57E58"/>
    <w:rsid w:val="00A60138"/>
    <w:rsid w:val="00A601A5"/>
    <w:rsid w:val="00A60559"/>
    <w:rsid w:val="00A6067E"/>
    <w:rsid w:val="00A60BCE"/>
    <w:rsid w:val="00A61035"/>
    <w:rsid w:val="00A61296"/>
    <w:rsid w:val="00A62D5A"/>
    <w:rsid w:val="00A63012"/>
    <w:rsid w:val="00A630C0"/>
    <w:rsid w:val="00A63135"/>
    <w:rsid w:val="00A63AC7"/>
    <w:rsid w:val="00A63AE1"/>
    <w:rsid w:val="00A63D5B"/>
    <w:rsid w:val="00A63EB1"/>
    <w:rsid w:val="00A64A1B"/>
    <w:rsid w:val="00A64DAB"/>
    <w:rsid w:val="00A64EA8"/>
    <w:rsid w:val="00A65760"/>
    <w:rsid w:val="00A659E6"/>
    <w:rsid w:val="00A65BB9"/>
    <w:rsid w:val="00A65E80"/>
    <w:rsid w:val="00A66168"/>
    <w:rsid w:val="00A66229"/>
    <w:rsid w:val="00A662C7"/>
    <w:rsid w:val="00A665AC"/>
    <w:rsid w:val="00A67084"/>
    <w:rsid w:val="00A67B3C"/>
    <w:rsid w:val="00A67C3A"/>
    <w:rsid w:val="00A67C91"/>
    <w:rsid w:val="00A7086B"/>
    <w:rsid w:val="00A70A7B"/>
    <w:rsid w:val="00A71B2F"/>
    <w:rsid w:val="00A7245D"/>
    <w:rsid w:val="00A7292E"/>
    <w:rsid w:val="00A73961"/>
    <w:rsid w:val="00A739C9"/>
    <w:rsid w:val="00A73AD3"/>
    <w:rsid w:val="00A7449C"/>
    <w:rsid w:val="00A744D3"/>
    <w:rsid w:val="00A74DFF"/>
    <w:rsid w:val="00A757B6"/>
    <w:rsid w:val="00A75DAC"/>
    <w:rsid w:val="00A76049"/>
    <w:rsid w:val="00A7656B"/>
    <w:rsid w:val="00A769E8"/>
    <w:rsid w:val="00A76B29"/>
    <w:rsid w:val="00A76B5A"/>
    <w:rsid w:val="00A76CA4"/>
    <w:rsid w:val="00A77386"/>
    <w:rsid w:val="00A7763D"/>
    <w:rsid w:val="00A80247"/>
    <w:rsid w:val="00A81E09"/>
    <w:rsid w:val="00A81F57"/>
    <w:rsid w:val="00A822A9"/>
    <w:rsid w:val="00A82747"/>
    <w:rsid w:val="00A82A8E"/>
    <w:rsid w:val="00A83436"/>
    <w:rsid w:val="00A83469"/>
    <w:rsid w:val="00A83BFE"/>
    <w:rsid w:val="00A83E68"/>
    <w:rsid w:val="00A83FB9"/>
    <w:rsid w:val="00A8406B"/>
    <w:rsid w:val="00A840F5"/>
    <w:rsid w:val="00A84674"/>
    <w:rsid w:val="00A84746"/>
    <w:rsid w:val="00A847BB"/>
    <w:rsid w:val="00A847D2"/>
    <w:rsid w:val="00A84804"/>
    <w:rsid w:val="00A84CE8"/>
    <w:rsid w:val="00A84D9B"/>
    <w:rsid w:val="00A85669"/>
    <w:rsid w:val="00A85B50"/>
    <w:rsid w:val="00A863FC"/>
    <w:rsid w:val="00A8712F"/>
    <w:rsid w:val="00A87168"/>
    <w:rsid w:val="00A874F3"/>
    <w:rsid w:val="00A875E8"/>
    <w:rsid w:val="00A878E6"/>
    <w:rsid w:val="00A87FF5"/>
    <w:rsid w:val="00A901A9"/>
    <w:rsid w:val="00A9021B"/>
    <w:rsid w:val="00A90835"/>
    <w:rsid w:val="00A91354"/>
    <w:rsid w:val="00A92446"/>
    <w:rsid w:val="00A92660"/>
    <w:rsid w:val="00A92927"/>
    <w:rsid w:val="00A92AAF"/>
    <w:rsid w:val="00A92C56"/>
    <w:rsid w:val="00A92EE3"/>
    <w:rsid w:val="00A93283"/>
    <w:rsid w:val="00A9383A"/>
    <w:rsid w:val="00A93CBF"/>
    <w:rsid w:val="00A93D67"/>
    <w:rsid w:val="00A93F82"/>
    <w:rsid w:val="00A949AD"/>
    <w:rsid w:val="00A94A40"/>
    <w:rsid w:val="00A94DE7"/>
    <w:rsid w:val="00A95FF7"/>
    <w:rsid w:val="00A967D7"/>
    <w:rsid w:val="00A969C6"/>
    <w:rsid w:val="00A96AF8"/>
    <w:rsid w:val="00A96C68"/>
    <w:rsid w:val="00A96C81"/>
    <w:rsid w:val="00A96E1B"/>
    <w:rsid w:val="00A97151"/>
    <w:rsid w:val="00A975F9"/>
    <w:rsid w:val="00A9779E"/>
    <w:rsid w:val="00A97BE3"/>
    <w:rsid w:val="00A97CE0"/>
    <w:rsid w:val="00AA00C7"/>
    <w:rsid w:val="00AA0173"/>
    <w:rsid w:val="00AA017F"/>
    <w:rsid w:val="00AA04BD"/>
    <w:rsid w:val="00AA0FE0"/>
    <w:rsid w:val="00AA16C7"/>
    <w:rsid w:val="00AA1710"/>
    <w:rsid w:val="00AA1925"/>
    <w:rsid w:val="00AA19C9"/>
    <w:rsid w:val="00AA2051"/>
    <w:rsid w:val="00AA2DE9"/>
    <w:rsid w:val="00AA3549"/>
    <w:rsid w:val="00AA3E21"/>
    <w:rsid w:val="00AA4336"/>
    <w:rsid w:val="00AA4428"/>
    <w:rsid w:val="00AA4530"/>
    <w:rsid w:val="00AA4960"/>
    <w:rsid w:val="00AA5470"/>
    <w:rsid w:val="00AA5FE9"/>
    <w:rsid w:val="00AA640D"/>
    <w:rsid w:val="00AA67B8"/>
    <w:rsid w:val="00AA6829"/>
    <w:rsid w:val="00AA6A46"/>
    <w:rsid w:val="00AA6D2C"/>
    <w:rsid w:val="00AA6E49"/>
    <w:rsid w:val="00AA6E92"/>
    <w:rsid w:val="00AA6F34"/>
    <w:rsid w:val="00AA77CC"/>
    <w:rsid w:val="00AA77F3"/>
    <w:rsid w:val="00AA78B0"/>
    <w:rsid w:val="00AA7E9F"/>
    <w:rsid w:val="00AB0DC4"/>
    <w:rsid w:val="00AB10F7"/>
    <w:rsid w:val="00AB13A0"/>
    <w:rsid w:val="00AB1935"/>
    <w:rsid w:val="00AB1937"/>
    <w:rsid w:val="00AB1CEE"/>
    <w:rsid w:val="00AB1F4B"/>
    <w:rsid w:val="00AB2822"/>
    <w:rsid w:val="00AB2A0B"/>
    <w:rsid w:val="00AB2BE9"/>
    <w:rsid w:val="00AB2C59"/>
    <w:rsid w:val="00AB2FF5"/>
    <w:rsid w:val="00AB327B"/>
    <w:rsid w:val="00AB3513"/>
    <w:rsid w:val="00AB3608"/>
    <w:rsid w:val="00AB397C"/>
    <w:rsid w:val="00AB3AF6"/>
    <w:rsid w:val="00AB3B58"/>
    <w:rsid w:val="00AB3D25"/>
    <w:rsid w:val="00AB439C"/>
    <w:rsid w:val="00AB45A8"/>
    <w:rsid w:val="00AB4749"/>
    <w:rsid w:val="00AB4753"/>
    <w:rsid w:val="00AB4977"/>
    <w:rsid w:val="00AB5D0D"/>
    <w:rsid w:val="00AB60CE"/>
    <w:rsid w:val="00AB67CC"/>
    <w:rsid w:val="00AB69AF"/>
    <w:rsid w:val="00AB6EE6"/>
    <w:rsid w:val="00AB7A1F"/>
    <w:rsid w:val="00AB7C5C"/>
    <w:rsid w:val="00AC0677"/>
    <w:rsid w:val="00AC096C"/>
    <w:rsid w:val="00AC0AC5"/>
    <w:rsid w:val="00AC0C30"/>
    <w:rsid w:val="00AC16B8"/>
    <w:rsid w:val="00AC18EF"/>
    <w:rsid w:val="00AC1BC2"/>
    <w:rsid w:val="00AC1DA4"/>
    <w:rsid w:val="00AC2398"/>
    <w:rsid w:val="00AC2508"/>
    <w:rsid w:val="00AC2B7F"/>
    <w:rsid w:val="00AC3022"/>
    <w:rsid w:val="00AC391A"/>
    <w:rsid w:val="00AC39E3"/>
    <w:rsid w:val="00AC3A05"/>
    <w:rsid w:val="00AC3F6E"/>
    <w:rsid w:val="00AC4022"/>
    <w:rsid w:val="00AC4977"/>
    <w:rsid w:val="00AC4F47"/>
    <w:rsid w:val="00AC524A"/>
    <w:rsid w:val="00AC5E4B"/>
    <w:rsid w:val="00AC621D"/>
    <w:rsid w:val="00AC67A5"/>
    <w:rsid w:val="00AC6A5E"/>
    <w:rsid w:val="00AC6C7E"/>
    <w:rsid w:val="00AC736B"/>
    <w:rsid w:val="00AC7698"/>
    <w:rsid w:val="00AC781E"/>
    <w:rsid w:val="00AC79D6"/>
    <w:rsid w:val="00AC7DD2"/>
    <w:rsid w:val="00AC7DDD"/>
    <w:rsid w:val="00AD0794"/>
    <w:rsid w:val="00AD07FD"/>
    <w:rsid w:val="00AD0E17"/>
    <w:rsid w:val="00AD16E8"/>
    <w:rsid w:val="00AD1748"/>
    <w:rsid w:val="00AD18F6"/>
    <w:rsid w:val="00AD1EAE"/>
    <w:rsid w:val="00AD21C4"/>
    <w:rsid w:val="00AD2470"/>
    <w:rsid w:val="00AD2483"/>
    <w:rsid w:val="00AD2FBD"/>
    <w:rsid w:val="00AD31C8"/>
    <w:rsid w:val="00AD32B6"/>
    <w:rsid w:val="00AD334A"/>
    <w:rsid w:val="00AD356F"/>
    <w:rsid w:val="00AD3849"/>
    <w:rsid w:val="00AD3ABA"/>
    <w:rsid w:val="00AD40A1"/>
    <w:rsid w:val="00AD411D"/>
    <w:rsid w:val="00AD4520"/>
    <w:rsid w:val="00AD4574"/>
    <w:rsid w:val="00AD4C3A"/>
    <w:rsid w:val="00AD5840"/>
    <w:rsid w:val="00AD59BF"/>
    <w:rsid w:val="00AD5C13"/>
    <w:rsid w:val="00AD6277"/>
    <w:rsid w:val="00AD64C8"/>
    <w:rsid w:val="00AD6F9B"/>
    <w:rsid w:val="00AD6FCB"/>
    <w:rsid w:val="00AD78E0"/>
    <w:rsid w:val="00AE034D"/>
    <w:rsid w:val="00AE0355"/>
    <w:rsid w:val="00AE07D7"/>
    <w:rsid w:val="00AE0893"/>
    <w:rsid w:val="00AE0D9B"/>
    <w:rsid w:val="00AE1152"/>
    <w:rsid w:val="00AE1698"/>
    <w:rsid w:val="00AE178E"/>
    <w:rsid w:val="00AE228A"/>
    <w:rsid w:val="00AE280C"/>
    <w:rsid w:val="00AE33F6"/>
    <w:rsid w:val="00AE3557"/>
    <w:rsid w:val="00AE373D"/>
    <w:rsid w:val="00AE4700"/>
    <w:rsid w:val="00AE47FE"/>
    <w:rsid w:val="00AE4FD2"/>
    <w:rsid w:val="00AE5323"/>
    <w:rsid w:val="00AE540A"/>
    <w:rsid w:val="00AE5AC5"/>
    <w:rsid w:val="00AE5CB8"/>
    <w:rsid w:val="00AE771C"/>
    <w:rsid w:val="00AE7AB0"/>
    <w:rsid w:val="00AE7BA4"/>
    <w:rsid w:val="00AE7CEA"/>
    <w:rsid w:val="00AF02A0"/>
    <w:rsid w:val="00AF037E"/>
    <w:rsid w:val="00AF0B81"/>
    <w:rsid w:val="00AF0DBA"/>
    <w:rsid w:val="00AF1771"/>
    <w:rsid w:val="00AF19CC"/>
    <w:rsid w:val="00AF1F3B"/>
    <w:rsid w:val="00AF21C1"/>
    <w:rsid w:val="00AF2D3B"/>
    <w:rsid w:val="00AF2F25"/>
    <w:rsid w:val="00AF31BB"/>
    <w:rsid w:val="00AF3291"/>
    <w:rsid w:val="00AF3A68"/>
    <w:rsid w:val="00AF3C04"/>
    <w:rsid w:val="00AF4231"/>
    <w:rsid w:val="00AF43E4"/>
    <w:rsid w:val="00AF478D"/>
    <w:rsid w:val="00AF48DC"/>
    <w:rsid w:val="00AF4CAA"/>
    <w:rsid w:val="00AF56AB"/>
    <w:rsid w:val="00AF56EB"/>
    <w:rsid w:val="00AF58FD"/>
    <w:rsid w:val="00AF59C5"/>
    <w:rsid w:val="00AF5C64"/>
    <w:rsid w:val="00AF5E9E"/>
    <w:rsid w:val="00AF6222"/>
    <w:rsid w:val="00AF70FC"/>
    <w:rsid w:val="00AF7496"/>
    <w:rsid w:val="00AF7A23"/>
    <w:rsid w:val="00AF7AB0"/>
    <w:rsid w:val="00AF7AC4"/>
    <w:rsid w:val="00AF7B2E"/>
    <w:rsid w:val="00AF7D58"/>
    <w:rsid w:val="00B0024C"/>
    <w:rsid w:val="00B00BBB"/>
    <w:rsid w:val="00B00DD2"/>
    <w:rsid w:val="00B01C28"/>
    <w:rsid w:val="00B01F09"/>
    <w:rsid w:val="00B02158"/>
    <w:rsid w:val="00B0277E"/>
    <w:rsid w:val="00B02A97"/>
    <w:rsid w:val="00B02BF5"/>
    <w:rsid w:val="00B02CBF"/>
    <w:rsid w:val="00B02DE7"/>
    <w:rsid w:val="00B030A3"/>
    <w:rsid w:val="00B03244"/>
    <w:rsid w:val="00B0324E"/>
    <w:rsid w:val="00B0353A"/>
    <w:rsid w:val="00B0371E"/>
    <w:rsid w:val="00B04A5E"/>
    <w:rsid w:val="00B0594D"/>
    <w:rsid w:val="00B059BC"/>
    <w:rsid w:val="00B06777"/>
    <w:rsid w:val="00B0697D"/>
    <w:rsid w:val="00B06A46"/>
    <w:rsid w:val="00B06E07"/>
    <w:rsid w:val="00B06FE8"/>
    <w:rsid w:val="00B07887"/>
    <w:rsid w:val="00B07A0B"/>
    <w:rsid w:val="00B10BEA"/>
    <w:rsid w:val="00B112C8"/>
    <w:rsid w:val="00B115D1"/>
    <w:rsid w:val="00B118CB"/>
    <w:rsid w:val="00B11924"/>
    <w:rsid w:val="00B11F2F"/>
    <w:rsid w:val="00B122D2"/>
    <w:rsid w:val="00B12C9A"/>
    <w:rsid w:val="00B1303B"/>
    <w:rsid w:val="00B134D0"/>
    <w:rsid w:val="00B135B2"/>
    <w:rsid w:val="00B13618"/>
    <w:rsid w:val="00B1469C"/>
    <w:rsid w:val="00B146D7"/>
    <w:rsid w:val="00B14AB7"/>
    <w:rsid w:val="00B14D6C"/>
    <w:rsid w:val="00B15261"/>
    <w:rsid w:val="00B158C3"/>
    <w:rsid w:val="00B15A02"/>
    <w:rsid w:val="00B15FDF"/>
    <w:rsid w:val="00B16360"/>
    <w:rsid w:val="00B16954"/>
    <w:rsid w:val="00B17389"/>
    <w:rsid w:val="00B175E2"/>
    <w:rsid w:val="00B17788"/>
    <w:rsid w:val="00B17EB4"/>
    <w:rsid w:val="00B203E4"/>
    <w:rsid w:val="00B20E6D"/>
    <w:rsid w:val="00B2111A"/>
    <w:rsid w:val="00B21195"/>
    <w:rsid w:val="00B22A82"/>
    <w:rsid w:val="00B22EE8"/>
    <w:rsid w:val="00B23EA4"/>
    <w:rsid w:val="00B24167"/>
    <w:rsid w:val="00B244F6"/>
    <w:rsid w:val="00B25187"/>
    <w:rsid w:val="00B25273"/>
    <w:rsid w:val="00B25883"/>
    <w:rsid w:val="00B261DB"/>
    <w:rsid w:val="00B264B2"/>
    <w:rsid w:val="00B269A1"/>
    <w:rsid w:val="00B26A0B"/>
    <w:rsid w:val="00B272A0"/>
    <w:rsid w:val="00B2779F"/>
    <w:rsid w:val="00B30218"/>
    <w:rsid w:val="00B30355"/>
    <w:rsid w:val="00B307C4"/>
    <w:rsid w:val="00B31483"/>
    <w:rsid w:val="00B31B82"/>
    <w:rsid w:val="00B31D1D"/>
    <w:rsid w:val="00B32142"/>
    <w:rsid w:val="00B32486"/>
    <w:rsid w:val="00B328AC"/>
    <w:rsid w:val="00B32A1C"/>
    <w:rsid w:val="00B32BD3"/>
    <w:rsid w:val="00B32C6D"/>
    <w:rsid w:val="00B345A4"/>
    <w:rsid w:val="00B346DD"/>
    <w:rsid w:val="00B348FB"/>
    <w:rsid w:val="00B34D4C"/>
    <w:rsid w:val="00B34DB9"/>
    <w:rsid w:val="00B35001"/>
    <w:rsid w:val="00B3522D"/>
    <w:rsid w:val="00B35891"/>
    <w:rsid w:val="00B35AA0"/>
    <w:rsid w:val="00B35B85"/>
    <w:rsid w:val="00B366D4"/>
    <w:rsid w:val="00B36C30"/>
    <w:rsid w:val="00B36C57"/>
    <w:rsid w:val="00B36F29"/>
    <w:rsid w:val="00B3755A"/>
    <w:rsid w:val="00B37687"/>
    <w:rsid w:val="00B406B5"/>
    <w:rsid w:val="00B406E1"/>
    <w:rsid w:val="00B407F1"/>
    <w:rsid w:val="00B40D3F"/>
    <w:rsid w:val="00B410DB"/>
    <w:rsid w:val="00B41519"/>
    <w:rsid w:val="00B4228D"/>
    <w:rsid w:val="00B426A4"/>
    <w:rsid w:val="00B4300C"/>
    <w:rsid w:val="00B43287"/>
    <w:rsid w:val="00B437DB"/>
    <w:rsid w:val="00B43A4B"/>
    <w:rsid w:val="00B43D93"/>
    <w:rsid w:val="00B447BD"/>
    <w:rsid w:val="00B4495F"/>
    <w:rsid w:val="00B44962"/>
    <w:rsid w:val="00B44AF1"/>
    <w:rsid w:val="00B44E2F"/>
    <w:rsid w:val="00B44E3C"/>
    <w:rsid w:val="00B45033"/>
    <w:rsid w:val="00B45127"/>
    <w:rsid w:val="00B45E9B"/>
    <w:rsid w:val="00B4606E"/>
    <w:rsid w:val="00B46377"/>
    <w:rsid w:val="00B465A4"/>
    <w:rsid w:val="00B46804"/>
    <w:rsid w:val="00B469C6"/>
    <w:rsid w:val="00B46AA5"/>
    <w:rsid w:val="00B47231"/>
    <w:rsid w:val="00B4764D"/>
    <w:rsid w:val="00B5021B"/>
    <w:rsid w:val="00B50470"/>
    <w:rsid w:val="00B50627"/>
    <w:rsid w:val="00B50705"/>
    <w:rsid w:val="00B50AFD"/>
    <w:rsid w:val="00B50DD9"/>
    <w:rsid w:val="00B51653"/>
    <w:rsid w:val="00B51849"/>
    <w:rsid w:val="00B527AA"/>
    <w:rsid w:val="00B530E7"/>
    <w:rsid w:val="00B538DC"/>
    <w:rsid w:val="00B53B12"/>
    <w:rsid w:val="00B53E9A"/>
    <w:rsid w:val="00B542DD"/>
    <w:rsid w:val="00B545A9"/>
    <w:rsid w:val="00B548FE"/>
    <w:rsid w:val="00B54989"/>
    <w:rsid w:val="00B54B69"/>
    <w:rsid w:val="00B54F08"/>
    <w:rsid w:val="00B55684"/>
    <w:rsid w:val="00B55767"/>
    <w:rsid w:val="00B5612C"/>
    <w:rsid w:val="00B569CA"/>
    <w:rsid w:val="00B601A7"/>
    <w:rsid w:val="00B60623"/>
    <w:rsid w:val="00B61224"/>
    <w:rsid w:val="00B615D1"/>
    <w:rsid w:val="00B61870"/>
    <w:rsid w:val="00B618B3"/>
    <w:rsid w:val="00B6193B"/>
    <w:rsid w:val="00B61B1A"/>
    <w:rsid w:val="00B6241B"/>
    <w:rsid w:val="00B6260A"/>
    <w:rsid w:val="00B62698"/>
    <w:rsid w:val="00B62969"/>
    <w:rsid w:val="00B62D65"/>
    <w:rsid w:val="00B63402"/>
    <w:rsid w:val="00B63584"/>
    <w:rsid w:val="00B63906"/>
    <w:rsid w:val="00B63B73"/>
    <w:rsid w:val="00B64052"/>
    <w:rsid w:val="00B646AC"/>
    <w:rsid w:val="00B64857"/>
    <w:rsid w:val="00B648FF"/>
    <w:rsid w:val="00B64A38"/>
    <w:rsid w:val="00B64A72"/>
    <w:rsid w:val="00B656B9"/>
    <w:rsid w:val="00B658CE"/>
    <w:rsid w:val="00B65EA0"/>
    <w:rsid w:val="00B65F81"/>
    <w:rsid w:val="00B6640C"/>
    <w:rsid w:val="00B670E3"/>
    <w:rsid w:val="00B671ED"/>
    <w:rsid w:val="00B672B5"/>
    <w:rsid w:val="00B675F6"/>
    <w:rsid w:val="00B678CD"/>
    <w:rsid w:val="00B67AD6"/>
    <w:rsid w:val="00B67FE2"/>
    <w:rsid w:val="00B70A1F"/>
    <w:rsid w:val="00B70B25"/>
    <w:rsid w:val="00B70CB6"/>
    <w:rsid w:val="00B70D7C"/>
    <w:rsid w:val="00B71A9E"/>
    <w:rsid w:val="00B71AAB"/>
    <w:rsid w:val="00B71C1B"/>
    <w:rsid w:val="00B71CA5"/>
    <w:rsid w:val="00B71ED3"/>
    <w:rsid w:val="00B72085"/>
    <w:rsid w:val="00B72289"/>
    <w:rsid w:val="00B72332"/>
    <w:rsid w:val="00B7243C"/>
    <w:rsid w:val="00B72CFA"/>
    <w:rsid w:val="00B731CA"/>
    <w:rsid w:val="00B73C1F"/>
    <w:rsid w:val="00B741C3"/>
    <w:rsid w:val="00B744BE"/>
    <w:rsid w:val="00B74CE4"/>
    <w:rsid w:val="00B750D2"/>
    <w:rsid w:val="00B752A0"/>
    <w:rsid w:val="00B757BC"/>
    <w:rsid w:val="00B75F48"/>
    <w:rsid w:val="00B76212"/>
    <w:rsid w:val="00B7668E"/>
    <w:rsid w:val="00B769C9"/>
    <w:rsid w:val="00B76A9F"/>
    <w:rsid w:val="00B76B6E"/>
    <w:rsid w:val="00B76D73"/>
    <w:rsid w:val="00B76FB0"/>
    <w:rsid w:val="00B7712F"/>
    <w:rsid w:val="00B771B7"/>
    <w:rsid w:val="00B77670"/>
    <w:rsid w:val="00B806FE"/>
    <w:rsid w:val="00B80AB2"/>
    <w:rsid w:val="00B80C7A"/>
    <w:rsid w:val="00B80EC2"/>
    <w:rsid w:val="00B81671"/>
    <w:rsid w:val="00B819BB"/>
    <w:rsid w:val="00B81BCB"/>
    <w:rsid w:val="00B81DE6"/>
    <w:rsid w:val="00B82608"/>
    <w:rsid w:val="00B826EF"/>
    <w:rsid w:val="00B82966"/>
    <w:rsid w:val="00B82980"/>
    <w:rsid w:val="00B8298E"/>
    <w:rsid w:val="00B82AA4"/>
    <w:rsid w:val="00B82ABF"/>
    <w:rsid w:val="00B8321F"/>
    <w:rsid w:val="00B8338F"/>
    <w:rsid w:val="00B8397F"/>
    <w:rsid w:val="00B839D6"/>
    <w:rsid w:val="00B83F9E"/>
    <w:rsid w:val="00B84AF3"/>
    <w:rsid w:val="00B84EAD"/>
    <w:rsid w:val="00B850B0"/>
    <w:rsid w:val="00B85566"/>
    <w:rsid w:val="00B8566A"/>
    <w:rsid w:val="00B856F5"/>
    <w:rsid w:val="00B85818"/>
    <w:rsid w:val="00B858A6"/>
    <w:rsid w:val="00B85992"/>
    <w:rsid w:val="00B85B06"/>
    <w:rsid w:val="00B861BC"/>
    <w:rsid w:val="00B865A9"/>
    <w:rsid w:val="00B86AE5"/>
    <w:rsid w:val="00B86E43"/>
    <w:rsid w:val="00B86FD8"/>
    <w:rsid w:val="00B873D9"/>
    <w:rsid w:val="00B87666"/>
    <w:rsid w:val="00B87B82"/>
    <w:rsid w:val="00B905B5"/>
    <w:rsid w:val="00B905F2"/>
    <w:rsid w:val="00B9069E"/>
    <w:rsid w:val="00B907EC"/>
    <w:rsid w:val="00B90AE4"/>
    <w:rsid w:val="00B90D3D"/>
    <w:rsid w:val="00B9136A"/>
    <w:rsid w:val="00B91D95"/>
    <w:rsid w:val="00B92490"/>
    <w:rsid w:val="00B924E4"/>
    <w:rsid w:val="00B929F8"/>
    <w:rsid w:val="00B932DB"/>
    <w:rsid w:val="00B93465"/>
    <w:rsid w:val="00B93945"/>
    <w:rsid w:val="00B942FE"/>
    <w:rsid w:val="00B94458"/>
    <w:rsid w:val="00B951DD"/>
    <w:rsid w:val="00B95337"/>
    <w:rsid w:val="00B9577C"/>
    <w:rsid w:val="00B9636D"/>
    <w:rsid w:val="00B96519"/>
    <w:rsid w:val="00B9735B"/>
    <w:rsid w:val="00B9769E"/>
    <w:rsid w:val="00B9791B"/>
    <w:rsid w:val="00B97F96"/>
    <w:rsid w:val="00BA0B52"/>
    <w:rsid w:val="00BA0C27"/>
    <w:rsid w:val="00BA14E6"/>
    <w:rsid w:val="00BA16F7"/>
    <w:rsid w:val="00BA179E"/>
    <w:rsid w:val="00BA17A7"/>
    <w:rsid w:val="00BA2365"/>
    <w:rsid w:val="00BA32AF"/>
    <w:rsid w:val="00BA3E47"/>
    <w:rsid w:val="00BA4984"/>
    <w:rsid w:val="00BA4C75"/>
    <w:rsid w:val="00BA4D97"/>
    <w:rsid w:val="00BA4EB3"/>
    <w:rsid w:val="00BA5440"/>
    <w:rsid w:val="00BA5AFD"/>
    <w:rsid w:val="00BA61DD"/>
    <w:rsid w:val="00BA6DD1"/>
    <w:rsid w:val="00BA6F60"/>
    <w:rsid w:val="00BA7361"/>
    <w:rsid w:val="00BA73A5"/>
    <w:rsid w:val="00BA7832"/>
    <w:rsid w:val="00BA7D53"/>
    <w:rsid w:val="00BB0028"/>
    <w:rsid w:val="00BB004F"/>
    <w:rsid w:val="00BB04B2"/>
    <w:rsid w:val="00BB0A4D"/>
    <w:rsid w:val="00BB0B2B"/>
    <w:rsid w:val="00BB0FF7"/>
    <w:rsid w:val="00BB1093"/>
    <w:rsid w:val="00BB11A1"/>
    <w:rsid w:val="00BB1A1E"/>
    <w:rsid w:val="00BB1E1B"/>
    <w:rsid w:val="00BB1EB4"/>
    <w:rsid w:val="00BB21E2"/>
    <w:rsid w:val="00BB2400"/>
    <w:rsid w:val="00BB2B41"/>
    <w:rsid w:val="00BB2C0E"/>
    <w:rsid w:val="00BB2FDA"/>
    <w:rsid w:val="00BB3581"/>
    <w:rsid w:val="00BB37AB"/>
    <w:rsid w:val="00BB3899"/>
    <w:rsid w:val="00BB3BBF"/>
    <w:rsid w:val="00BB44BC"/>
    <w:rsid w:val="00BB476E"/>
    <w:rsid w:val="00BB485A"/>
    <w:rsid w:val="00BB4A09"/>
    <w:rsid w:val="00BB4DE0"/>
    <w:rsid w:val="00BB533D"/>
    <w:rsid w:val="00BB5FA1"/>
    <w:rsid w:val="00BB658B"/>
    <w:rsid w:val="00BB69EA"/>
    <w:rsid w:val="00BB69FB"/>
    <w:rsid w:val="00BB6AAB"/>
    <w:rsid w:val="00BB6E45"/>
    <w:rsid w:val="00BB7042"/>
    <w:rsid w:val="00BB71CA"/>
    <w:rsid w:val="00BB7640"/>
    <w:rsid w:val="00BB7C05"/>
    <w:rsid w:val="00BB7D08"/>
    <w:rsid w:val="00BC0379"/>
    <w:rsid w:val="00BC04BB"/>
    <w:rsid w:val="00BC0FB7"/>
    <w:rsid w:val="00BC193A"/>
    <w:rsid w:val="00BC1BF0"/>
    <w:rsid w:val="00BC1EE0"/>
    <w:rsid w:val="00BC39A9"/>
    <w:rsid w:val="00BC3C1F"/>
    <w:rsid w:val="00BC44D5"/>
    <w:rsid w:val="00BC511C"/>
    <w:rsid w:val="00BC5229"/>
    <w:rsid w:val="00BC531C"/>
    <w:rsid w:val="00BC5D61"/>
    <w:rsid w:val="00BC643C"/>
    <w:rsid w:val="00BC6DD1"/>
    <w:rsid w:val="00BC6E73"/>
    <w:rsid w:val="00BC7501"/>
    <w:rsid w:val="00BC7A42"/>
    <w:rsid w:val="00BD11F6"/>
    <w:rsid w:val="00BD228D"/>
    <w:rsid w:val="00BD2AEC"/>
    <w:rsid w:val="00BD2B29"/>
    <w:rsid w:val="00BD2BE5"/>
    <w:rsid w:val="00BD2F78"/>
    <w:rsid w:val="00BD3313"/>
    <w:rsid w:val="00BD3688"/>
    <w:rsid w:val="00BD377D"/>
    <w:rsid w:val="00BD385E"/>
    <w:rsid w:val="00BD441C"/>
    <w:rsid w:val="00BD45F8"/>
    <w:rsid w:val="00BD48AB"/>
    <w:rsid w:val="00BD4925"/>
    <w:rsid w:val="00BD4AC7"/>
    <w:rsid w:val="00BD4C20"/>
    <w:rsid w:val="00BD4DA1"/>
    <w:rsid w:val="00BD546F"/>
    <w:rsid w:val="00BD575B"/>
    <w:rsid w:val="00BD5819"/>
    <w:rsid w:val="00BD5C24"/>
    <w:rsid w:val="00BD5C3B"/>
    <w:rsid w:val="00BD6064"/>
    <w:rsid w:val="00BD63AC"/>
    <w:rsid w:val="00BD652E"/>
    <w:rsid w:val="00BD6543"/>
    <w:rsid w:val="00BD6D1D"/>
    <w:rsid w:val="00BD728F"/>
    <w:rsid w:val="00BD7B09"/>
    <w:rsid w:val="00BD7E7A"/>
    <w:rsid w:val="00BE005F"/>
    <w:rsid w:val="00BE047E"/>
    <w:rsid w:val="00BE0679"/>
    <w:rsid w:val="00BE1158"/>
    <w:rsid w:val="00BE133C"/>
    <w:rsid w:val="00BE1631"/>
    <w:rsid w:val="00BE1C9E"/>
    <w:rsid w:val="00BE1E59"/>
    <w:rsid w:val="00BE20E7"/>
    <w:rsid w:val="00BE26AE"/>
    <w:rsid w:val="00BE2AC0"/>
    <w:rsid w:val="00BE2D09"/>
    <w:rsid w:val="00BE30C3"/>
    <w:rsid w:val="00BE312A"/>
    <w:rsid w:val="00BE33F3"/>
    <w:rsid w:val="00BE3DBE"/>
    <w:rsid w:val="00BE40A5"/>
    <w:rsid w:val="00BE4218"/>
    <w:rsid w:val="00BE4359"/>
    <w:rsid w:val="00BE4804"/>
    <w:rsid w:val="00BE4B0E"/>
    <w:rsid w:val="00BE4D76"/>
    <w:rsid w:val="00BE4DBE"/>
    <w:rsid w:val="00BE562C"/>
    <w:rsid w:val="00BE5833"/>
    <w:rsid w:val="00BE61F9"/>
    <w:rsid w:val="00BE6A78"/>
    <w:rsid w:val="00BE6BB8"/>
    <w:rsid w:val="00BE6EBD"/>
    <w:rsid w:val="00BE6FE2"/>
    <w:rsid w:val="00BE7D61"/>
    <w:rsid w:val="00BF0163"/>
    <w:rsid w:val="00BF0920"/>
    <w:rsid w:val="00BF093B"/>
    <w:rsid w:val="00BF09D2"/>
    <w:rsid w:val="00BF133C"/>
    <w:rsid w:val="00BF1C46"/>
    <w:rsid w:val="00BF1EE7"/>
    <w:rsid w:val="00BF2B52"/>
    <w:rsid w:val="00BF2C77"/>
    <w:rsid w:val="00BF35EF"/>
    <w:rsid w:val="00BF36AF"/>
    <w:rsid w:val="00BF3B30"/>
    <w:rsid w:val="00BF3B92"/>
    <w:rsid w:val="00BF3C12"/>
    <w:rsid w:val="00BF443D"/>
    <w:rsid w:val="00BF5185"/>
    <w:rsid w:val="00BF5962"/>
    <w:rsid w:val="00BF6979"/>
    <w:rsid w:val="00BF6BBC"/>
    <w:rsid w:val="00BF74DF"/>
    <w:rsid w:val="00C0005A"/>
    <w:rsid w:val="00C00172"/>
    <w:rsid w:val="00C00828"/>
    <w:rsid w:val="00C0105D"/>
    <w:rsid w:val="00C0109D"/>
    <w:rsid w:val="00C01AB4"/>
    <w:rsid w:val="00C01AE2"/>
    <w:rsid w:val="00C01E7B"/>
    <w:rsid w:val="00C02544"/>
    <w:rsid w:val="00C02547"/>
    <w:rsid w:val="00C02A1F"/>
    <w:rsid w:val="00C02CE0"/>
    <w:rsid w:val="00C030A4"/>
    <w:rsid w:val="00C032D5"/>
    <w:rsid w:val="00C033F0"/>
    <w:rsid w:val="00C041F5"/>
    <w:rsid w:val="00C0458E"/>
    <w:rsid w:val="00C04A67"/>
    <w:rsid w:val="00C04A89"/>
    <w:rsid w:val="00C04ADB"/>
    <w:rsid w:val="00C04F1D"/>
    <w:rsid w:val="00C0514E"/>
    <w:rsid w:val="00C05236"/>
    <w:rsid w:val="00C05548"/>
    <w:rsid w:val="00C05B20"/>
    <w:rsid w:val="00C05E8E"/>
    <w:rsid w:val="00C06267"/>
    <w:rsid w:val="00C062D6"/>
    <w:rsid w:val="00C068DC"/>
    <w:rsid w:val="00C06BF7"/>
    <w:rsid w:val="00C07915"/>
    <w:rsid w:val="00C07C73"/>
    <w:rsid w:val="00C10474"/>
    <w:rsid w:val="00C118EA"/>
    <w:rsid w:val="00C11E2E"/>
    <w:rsid w:val="00C12141"/>
    <w:rsid w:val="00C124FB"/>
    <w:rsid w:val="00C130A0"/>
    <w:rsid w:val="00C13620"/>
    <w:rsid w:val="00C13DD5"/>
    <w:rsid w:val="00C14513"/>
    <w:rsid w:val="00C14572"/>
    <w:rsid w:val="00C15ACF"/>
    <w:rsid w:val="00C15F36"/>
    <w:rsid w:val="00C168D8"/>
    <w:rsid w:val="00C16D4B"/>
    <w:rsid w:val="00C170CC"/>
    <w:rsid w:val="00C172A7"/>
    <w:rsid w:val="00C172CE"/>
    <w:rsid w:val="00C17595"/>
    <w:rsid w:val="00C177BD"/>
    <w:rsid w:val="00C17862"/>
    <w:rsid w:val="00C17C38"/>
    <w:rsid w:val="00C201AD"/>
    <w:rsid w:val="00C2047F"/>
    <w:rsid w:val="00C205EB"/>
    <w:rsid w:val="00C206B6"/>
    <w:rsid w:val="00C20A81"/>
    <w:rsid w:val="00C20BA1"/>
    <w:rsid w:val="00C20BE0"/>
    <w:rsid w:val="00C20D63"/>
    <w:rsid w:val="00C21A9F"/>
    <w:rsid w:val="00C21C33"/>
    <w:rsid w:val="00C21C57"/>
    <w:rsid w:val="00C21DE6"/>
    <w:rsid w:val="00C2219F"/>
    <w:rsid w:val="00C22E4A"/>
    <w:rsid w:val="00C22E5D"/>
    <w:rsid w:val="00C23054"/>
    <w:rsid w:val="00C23876"/>
    <w:rsid w:val="00C23DEA"/>
    <w:rsid w:val="00C2400F"/>
    <w:rsid w:val="00C244D1"/>
    <w:rsid w:val="00C248F9"/>
    <w:rsid w:val="00C24C06"/>
    <w:rsid w:val="00C24EBC"/>
    <w:rsid w:val="00C25338"/>
    <w:rsid w:val="00C255B8"/>
    <w:rsid w:val="00C257D9"/>
    <w:rsid w:val="00C259EC"/>
    <w:rsid w:val="00C25B4F"/>
    <w:rsid w:val="00C25D98"/>
    <w:rsid w:val="00C25EB1"/>
    <w:rsid w:val="00C2616C"/>
    <w:rsid w:val="00C2665C"/>
    <w:rsid w:val="00C27202"/>
    <w:rsid w:val="00C276F9"/>
    <w:rsid w:val="00C27E8D"/>
    <w:rsid w:val="00C302BE"/>
    <w:rsid w:val="00C30A0E"/>
    <w:rsid w:val="00C30CA3"/>
    <w:rsid w:val="00C311CF"/>
    <w:rsid w:val="00C31260"/>
    <w:rsid w:val="00C317CB"/>
    <w:rsid w:val="00C31D04"/>
    <w:rsid w:val="00C3281B"/>
    <w:rsid w:val="00C32ACE"/>
    <w:rsid w:val="00C32DE3"/>
    <w:rsid w:val="00C32E0D"/>
    <w:rsid w:val="00C330ED"/>
    <w:rsid w:val="00C339AE"/>
    <w:rsid w:val="00C33C1A"/>
    <w:rsid w:val="00C340BB"/>
    <w:rsid w:val="00C3419A"/>
    <w:rsid w:val="00C353FD"/>
    <w:rsid w:val="00C35F19"/>
    <w:rsid w:val="00C362D0"/>
    <w:rsid w:val="00C3663C"/>
    <w:rsid w:val="00C369C8"/>
    <w:rsid w:val="00C36CD4"/>
    <w:rsid w:val="00C36CEA"/>
    <w:rsid w:val="00C36F74"/>
    <w:rsid w:val="00C37A44"/>
    <w:rsid w:val="00C37E54"/>
    <w:rsid w:val="00C40EA7"/>
    <w:rsid w:val="00C413F1"/>
    <w:rsid w:val="00C41F65"/>
    <w:rsid w:val="00C423E5"/>
    <w:rsid w:val="00C425B1"/>
    <w:rsid w:val="00C42625"/>
    <w:rsid w:val="00C42F00"/>
    <w:rsid w:val="00C439E6"/>
    <w:rsid w:val="00C44028"/>
    <w:rsid w:val="00C4487B"/>
    <w:rsid w:val="00C449DE"/>
    <w:rsid w:val="00C45275"/>
    <w:rsid w:val="00C45706"/>
    <w:rsid w:val="00C459A7"/>
    <w:rsid w:val="00C46856"/>
    <w:rsid w:val="00C46D27"/>
    <w:rsid w:val="00C47219"/>
    <w:rsid w:val="00C47517"/>
    <w:rsid w:val="00C47683"/>
    <w:rsid w:val="00C476A7"/>
    <w:rsid w:val="00C4778B"/>
    <w:rsid w:val="00C47A39"/>
    <w:rsid w:val="00C47D54"/>
    <w:rsid w:val="00C51082"/>
    <w:rsid w:val="00C51419"/>
    <w:rsid w:val="00C51793"/>
    <w:rsid w:val="00C52383"/>
    <w:rsid w:val="00C53019"/>
    <w:rsid w:val="00C531C7"/>
    <w:rsid w:val="00C53725"/>
    <w:rsid w:val="00C53CF6"/>
    <w:rsid w:val="00C53F1C"/>
    <w:rsid w:val="00C54116"/>
    <w:rsid w:val="00C54896"/>
    <w:rsid w:val="00C548BC"/>
    <w:rsid w:val="00C54E2A"/>
    <w:rsid w:val="00C55388"/>
    <w:rsid w:val="00C555EF"/>
    <w:rsid w:val="00C55A97"/>
    <w:rsid w:val="00C565CB"/>
    <w:rsid w:val="00C56C3E"/>
    <w:rsid w:val="00C56E20"/>
    <w:rsid w:val="00C570C4"/>
    <w:rsid w:val="00C57106"/>
    <w:rsid w:val="00C575F1"/>
    <w:rsid w:val="00C57697"/>
    <w:rsid w:val="00C57FCD"/>
    <w:rsid w:val="00C6028F"/>
    <w:rsid w:val="00C602F5"/>
    <w:rsid w:val="00C6095F"/>
    <w:rsid w:val="00C60BB5"/>
    <w:rsid w:val="00C60BC1"/>
    <w:rsid w:val="00C60BEC"/>
    <w:rsid w:val="00C60E61"/>
    <w:rsid w:val="00C616C9"/>
    <w:rsid w:val="00C616E4"/>
    <w:rsid w:val="00C61C77"/>
    <w:rsid w:val="00C6201B"/>
    <w:rsid w:val="00C6226A"/>
    <w:rsid w:val="00C62803"/>
    <w:rsid w:val="00C62DF5"/>
    <w:rsid w:val="00C62F7D"/>
    <w:rsid w:val="00C630B4"/>
    <w:rsid w:val="00C63556"/>
    <w:rsid w:val="00C63DB3"/>
    <w:rsid w:val="00C63E4E"/>
    <w:rsid w:val="00C6438D"/>
    <w:rsid w:val="00C6440A"/>
    <w:rsid w:val="00C6478B"/>
    <w:rsid w:val="00C648D6"/>
    <w:rsid w:val="00C64C36"/>
    <w:rsid w:val="00C64CE4"/>
    <w:rsid w:val="00C65684"/>
    <w:rsid w:val="00C66261"/>
    <w:rsid w:val="00C670D1"/>
    <w:rsid w:val="00C674E1"/>
    <w:rsid w:val="00C677AD"/>
    <w:rsid w:val="00C678BB"/>
    <w:rsid w:val="00C67D2D"/>
    <w:rsid w:val="00C67DBF"/>
    <w:rsid w:val="00C70832"/>
    <w:rsid w:val="00C70BF5"/>
    <w:rsid w:val="00C710B2"/>
    <w:rsid w:val="00C71620"/>
    <w:rsid w:val="00C7175D"/>
    <w:rsid w:val="00C718EE"/>
    <w:rsid w:val="00C71D2F"/>
    <w:rsid w:val="00C7243C"/>
    <w:rsid w:val="00C725AE"/>
    <w:rsid w:val="00C72979"/>
    <w:rsid w:val="00C72986"/>
    <w:rsid w:val="00C732EB"/>
    <w:rsid w:val="00C7335C"/>
    <w:rsid w:val="00C73E7A"/>
    <w:rsid w:val="00C73FAF"/>
    <w:rsid w:val="00C74738"/>
    <w:rsid w:val="00C74B33"/>
    <w:rsid w:val="00C74B89"/>
    <w:rsid w:val="00C75048"/>
    <w:rsid w:val="00C75361"/>
    <w:rsid w:val="00C75964"/>
    <w:rsid w:val="00C75C91"/>
    <w:rsid w:val="00C75D69"/>
    <w:rsid w:val="00C75F48"/>
    <w:rsid w:val="00C762E1"/>
    <w:rsid w:val="00C76BFE"/>
    <w:rsid w:val="00C76F2A"/>
    <w:rsid w:val="00C77485"/>
    <w:rsid w:val="00C776FA"/>
    <w:rsid w:val="00C77D98"/>
    <w:rsid w:val="00C80C2C"/>
    <w:rsid w:val="00C81211"/>
    <w:rsid w:val="00C81263"/>
    <w:rsid w:val="00C813E7"/>
    <w:rsid w:val="00C817CB"/>
    <w:rsid w:val="00C819C9"/>
    <w:rsid w:val="00C81A78"/>
    <w:rsid w:val="00C81BAC"/>
    <w:rsid w:val="00C81F26"/>
    <w:rsid w:val="00C81F6C"/>
    <w:rsid w:val="00C81F6D"/>
    <w:rsid w:val="00C823A3"/>
    <w:rsid w:val="00C829FE"/>
    <w:rsid w:val="00C82BCC"/>
    <w:rsid w:val="00C82BFC"/>
    <w:rsid w:val="00C82D5C"/>
    <w:rsid w:val="00C82E7E"/>
    <w:rsid w:val="00C82FB7"/>
    <w:rsid w:val="00C83872"/>
    <w:rsid w:val="00C83A6D"/>
    <w:rsid w:val="00C8408D"/>
    <w:rsid w:val="00C84409"/>
    <w:rsid w:val="00C845CD"/>
    <w:rsid w:val="00C846C5"/>
    <w:rsid w:val="00C84B76"/>
    <w:rsid w:val="00C84BE5"/>
    <w:rsid w:val="00C84FC9"/>
    <w:rsid w:val="00C851F1"/>
    <w:rsid w:val="00C85609"/>
    <w:rsid w:val="00C85E74"/>
    <w:rsid w:val="00C86133"/>
    <w:rsid w:val="00C86281"/>
    <w:rsid w:val="00C8639E"/>
    <w:rsid w:val="00C86DE6"/>
    <w:rsid w:val="00C87041"/>
    <w:rsid w:val="00C87479"/>
    <w:rsid w:val="00C8778D"/>
    <w:rsid w:val="00C87B09"/>
    <w:rsid w:val="00C9008D"/>
    <w:rsid w:val="00C90995"/>
    <w:rsid w:val="00C90AF8"/>
    <w:rsid w:val="00C90C61"/>
    <w:rsid w:val="00C91A23"/>
    <w:rsid w:val="00C91AF3"/>
    <w:rsid w:val="00C91CF2"/>
    <w:rsid w:val="00C91FF3"/>
    <w:rsid w:val="00C926AE"/>
    <w:rsid w:val="00C9323D"/>
    <w:rsid w:val="00C93746"/>
    <w:rsid w:val="00C93AA3"/>
    <w:rsid w:val="00C93DB4"/>
    <w:rsid w:val="00C93F2C"/>
    <w:rsid w:val="00C93FB6"/>
    <w:rsid w:val="00C94113"/>
    <w:rsid w:val="00C94348"/>
    <w:rsid w:val="00C9435B"/>
    <w:rsid w:val="00C946D5"/>
    <w:rsid w:val="00C9476B"/>
    <w:rsid w:val="00C947D7"/>
    <w:rsid w:val="00C94F2F"/>
    <w:rsid w:val="00C951A5"/>
    <w:rsid w:val="00C952A6"/>
    <w:rsid w:val="00C962C1"/>
    <w:rsid w:val="00C96788"/>
    <w:rsid w:val="00C96DF5"/>
    <w:rsid w:val="00C970AB"/>
    <w:rsid w:val="00C9776F"/>
    <w:rsid w:val="00C97B04"/>
    <w:rsid w:val="00C97FFE"/>
    <w:rsid w:val="00CA02A2"/>
    <w:rsid w:val="00CA03CB"/>
    <w:rsid w:val="00CA17C2"/>
    <w:rsid w:val="00CA1DED"/>
    <w:rsid w:val="00CA20C3"/>
    <w:rsid w:val="00CA219E"/>
    <w:rsid w:val="00CA29F5"/>
    <w:rsid w:val="00CA3253"/>
    <w:rsid w:val="00CA3359"/>
    <w:rsid w:val="00CA354F"/>
    <w:rsid w:val="00CA35A6"/>
    <w:rsid w:val="00CA364C"/>
    <w:rsid w:val="00CA3898"/>
    <w:rsid w:val="00CA466E"/>
    <w:rsid w:val="00CA4B76"/>
    <w:rsid w:val="00CA4BCC"/>
    <w:rsid w:val="00CA57C9"/>
    <w:rsid w:val="00CA595A"/>
    <w:rsid w:val="00CA5AC6"/>
    <w:rsid w:val="00CA5BD6"/>
    <w:rsid w:val="00CA5C8D"/>
    <w:rsid w:val="00CA6A33"/>
    <w:rsid w:val="00CA7111"/>
    <w:rsid w:val="00CA7E55"/>
    <w:rsid w:val="00CB0A28"/>
    <w:rsid w:val="00CB0F9A"/>
    <w:rsid w:val="00CB15F2"/>
    <w:rsid w:val="00CB1AEE"/>
    <w:rsid w:val="00CB1D6E"/>
    <w:rsid w:val="00CB1F5F"/>
    <w:rsid w:val="00CB29B9"/>
    <w:rsid w:val="00CB3782"/>
    <w:rsid w:val="00CB3F1B"/>
    <w:rsid w:val="00CB42B6"/>
    <w:rsid w:val="00CB4529"/>
    <w:rsid w:val="00CB4D3F"/>
    <w:rsid w:val="00CB5232"/>
    <w:rsid w:val="00CB57DB"/>
    <w:rsid w:val="00CB5997"/>
    <w:rsid w:val="00CB69A5"/>
    <w:rsid w:val="00CB6C88"/>
    <w:rsid w:val="00CB7121"/>
    <w:rsid w:val="00CB78D6"/>
    <w:rsid w:val="00CB792F"/>
    <w:rsid w:val="00CC003D"/>
    <w:rsid w:val="00CC01EC"/>
    <w:rsid w:val="00CC05D1"/>
    <w:rsid w:val="00CC0DD2"/>
    <w:rsid w:val="00CC1014"/>
    <w:rsid w:val="00CC1D88"/>
    <w:rsid w:val="00CC1DBE"/>
    <w:rsid w:val="00CC20C1"/>
    <w:rsid w:val="00CC22A3"/>
    <w:rsid w:val="00CC3051"/>
    <w:rsid w:val="00CC32D8"/>
    <w:rsid w:val="00CC34D0"/>
    <w:rsid w:val="00CC3BB6"/>
    <w:rsid w:val="00CC4BCE"/>
    <w:rsid w:val="00CC5905"/>
    <w:rsid w:val="00CC5C5B"/>
    <w:rsid w:val="00CC624B"/>
    <w:rsid w:val="00CC62E4"/>
    <w:rsid w:val="00CC6E69"/>
    <w:rsid w:val="00CC7227"/>
    <w:rsid w:val="00CC7A79"/>
    <w:rsid w:val="00CC7B32"/>
    <w:rsid w:val="00CD01AF"/>
    <w:rsid w:val="00CD01E6"/>
    <w:rsid w:val="00CD040F"/>
    <w:rsid w:val="00CD09EC"/>
    <w:rsid w:val="00CD0D06"/>
    <w:rsid w:val="00CD0E0A"/>
    <w:rsid w:val="00CD106D"/>
    <w:rsid w:val="00CD15A5"/>
    <w:rsid w:val="00CD1D29"/>
    <w:rsid w:val="00CD1DC8"/>
    <w:rsid w:val="00CD27DE"/>
    <w:rsid w:val="00CD28C2"/>
    <w:rsid w:val="00CD2F9B"/>
    <w:rsid w:val="00CD33E1"/>
    <w:rsid w:val="00CD3880"/>
    <w:rsid w:val="00CD39F5"/>
    <w:rsid w:val="00CD3CF7"/>
    <w:rsid w:val="00CD3F0B"/>
    <w:rsid w:val="00CD48E8"/>
    <w:rsid w:val="00CD54C5"/>
    <w:rsid w:val="00CD5693"/>
    <w:rsid w:val="00CD58B5"/>
    <w:rsid w:val="00CD593A"/>
    <w:rsid w:val="00CD5F59"/>
    <w:rsid w:val="00CD605D"/>
    <w:rsid w:val="00CD615C"/>
    <w:rsid w:val="00CD6665"/>
    <w:rsid w:val="00CD6BED"/>
    <w:rsid w:val="00CD733F"/>
    <w:rsid w:val="00CD786B"/>
    <w:rsid w:val="00CD79FC"/>
    <w:rsid w:val="00CD7AF1"/>
    <w:rsid w:val="00CD7BDB"/>
    <w:rsid w:val="00CD7BFF"/>
    <w:rsid w:val="00CD7F60"/>
    <w:rsid w:val="00CE0374"/>
    <w:rsid w:val="00CE1868"/>
    <w:rsid w:val="00CE1E9F"/>
    <w:rsid w:val="00CE21CD"/>
    <w:rsid w:val="00CE24A8"/>
    <w:rsid w:val="00CE26BB"/>
    <w:rsid w:val="00CE2B35"/>
    <w:rsid w:val="00CE2ED8"/>
    <w:rsid w:val="00CE3028"/>
    <w:rsid w:val="00CE3690"/>
    <w:rsid w:val="00CE36A0"/>
    <w:rsid w:val="00CE47DF"/>
    <w:rsid w:val="00CE4926"/>
    <w:rsid w:val="00CE4C6A"/>
    <w:rsid w:val="00CE4FEC"/>
    <w:rsid w:val="00CE5005"/>
    <w:rsid w:val="00CE5056"/>
    <w:rsid w:val="00CE52CA"/>
    <w:rsid w:val="00CE5809"/>
    <w:rsid w:val="00CE5E2F"/>
    <w:rsid w:val="00CE6091"/>
    <w:rsid w:val="00CE65FF"/>
    <w:rsid w:val="00CE6698"/>
    <w:rsid w:val="00CE68F6"/>
    <w:rsid w:val="00CE70D1"/>
    <w:rsid w:val="00CF03D4"/>
    <w:rsid w:val="00CF086F"/>
    <w:rsid w:val="00CF11B8"/>
    <w:rsid w:val="00CF132E"/>
    <w:rsid w:val="00CF1B56"/>
    <w:rsid w:val="00CF29DF"/>
    <w:rsid w:val="00CF2BCB"/>
    <w:rsid w:val="00CF2CD0"/>
    <w:rsid w:val="00CF316D"/>
    <w:rsid w:val="00CF332C"/>
    <w:rsid w:val="00CF33D0"/>
    <w:rsid w:val="00CF37DA"/>
    <w:rsid w:val="00CF418D"/>
    <w:rsid w:val="00CF41B5"/>
    <w:rsid w:val="00CF4F97"/>
    <w:rsid w:val="00CF5A23"/>
    <w:rsid w:val="00CF5A85"/>
    <w:rsid w:val="00CF66D0"/>
    <w:rsid w:val="00CF6E10"/>
    <w:rsid w:val="00CF6EDE"/>
    <w:rsid w:val="00CF726B"/>
    <w:rsid w:val="00CF7303"/>
    <w:rsid w:val="00CF76D9"/>
    <w:rsid w:val="00D00540"/>
    <w:rsid w:val="00D0055F"/>
    <w:rsid w:val="00D0091F"/>
    <w:rsid w:val="00D009E1"/>
    <w:rsid w:val="00D00AC0"/>
    <w:rsid w:val="00D010A0"/>
    <w:rsid w:val="00D0126E"/>
    <w:rsid w:val="00D0170A"/>
    <w:rsid w:val="00D0181B"/>
    <w:rsid w:val="00D01C60"/>
    <w:rsid w:val="00D023B1"/>
    <w:rsid w:val="00D025B2"/>
    <w:rsid w:val="00D02905"/>
    <w:rsid w:val="00D02B98"/>
    <w:rsid w:val="00D02E06"/>
    <w:rsid w:val="00D0304E"/>
    <w:rsid w:val="00D03307"/>
    <w:rsid w:val="00D03819"/>
    <w:rsid w:val="00D039C3"/>
    <w:rsid w:val="00D03B0D"/>
    <w:rsid w:val="00D0422F"/>
    <w:rsid w:val="00D04620"/>
    <w:rsid w:val="00D04A78"/>
    <w:rsid w:val="00D051C6"/>
    <w:rsid w:val="00D052C3"/>
    <w:rsid w:val="00D052F1"/>
    <w:rsid w:val="00D05410"/>
    <w:rsid w:val="00D0571B"/>
    <w:rsid w:val="00D058F1"/>
    <w:rsid w:val="00D05BBC"/>
    <w:rsid w:val="00D05FAB"/>
    <w:rsid w:val="00D07112"/>
    <w:rsid w:val="00D07319"/>
    <w:rsid w:val="00D0760B"/>
    <w:rsid w:val="00D07854"/>
    <w:rsid w:val="00D07D01"/>
    <w:rsid w:val="00D103CC"/>
    <w:rsid w:val="00D105C3"/>
    <w:rsid w:val="00D10747"/>
    <w:rsid w:val="00D107AF"/>
    <w:rsid w:val="00D107EB"/>
    <w:rsid w:val="00D10B67"/>
    <w:rsid w:val="00D11C11"/>
    <w:rsid w:val="00D11C26"/>
    <w:rsid w:val="00D1226F"/>
    <w:rsid w:val="00D124A7"/>
    <w:rsid w:val="00D12666"/>
    <w:rsid w:val="00D1282D"/>
    <w:rsid w:val="00D135DA"/>
    <w:rsid w:val="00D136D9"/>
    <w:rsid w:val="00D13CBD"/>
    <w:rsid w:val="00D13D86"/>
    <w:rsid w:val="00D14076"/>
    <w:rsid w:val="00D14535"/>
    <w:rsid w:val="00D14546"/>
    <w:rsid w:val="00D14B18"/>
    <w:rsid w:val="00D14B32"/>
    <w:rsid w:val="00D14DC6"/>
    <w:rsid w:val="00D14FCF"/>
    <w:rsid w:val="00D15592"/>
    <w:rsid w:val="00D15641"/>
    <w:rsid w:val="00D156EC"/>
    <w:rsid w:val="00D15B7F"/>
    <w:rsid w:val="00D16003"/>
    <w:rsid w:val="00D163E7"/>
    <w:rsid w:val="00D164FC"/>
    <w:rsid w:val="00D165D7"/>
    <w:rsid w:val="00D1675B"/>
    <w:rsid w:val="00D1682C"/>
    <w:rsid w:val="00D16896"/>
    <w:rsid w:val="00D17545"/>
    <w:rsid w:val="00D176D1"/>
    <w:rsid w:val="00D178A3"/>
    <w:rsid w:val="00D17983"/>
    <w:rsid w:val="00D179BD"/>
    <w:rsid w:val="00D2077D"/>
    <w:rsid w:val="00D20949"/>
    <w:rsid w:val="00D20A6C"/>
    <w:rsid w:val="00D20BB7"/>
    <w:rsid w:val="00D20EE7"/>
    <w:rsid w:val="00D21463"/>
    <w:rsid w:val="00D21582"/>
    <w:rsid w:val="00D215AB"/>
    <w:rsid w:val="00D216CA"/>
    <w:rsid w:val="00D218BC"/>
    <w:rsid w:val="00D21F64"/>
    <w:rsid w:val="00D22015"/>
    <w:rsid w:val="00D227A6"/>
    <w:rsid w:val="00D228FA"/>
    <w:rsid w:val="00D229F7"/>
    <w:rsid w:val="00D22A5F"/>
    <w:rsid w:val="00D22DE8"/>
    <w:rsid w:val="00D231BD"/>
    <w:rsid w:val="00D238F3"/>
    <w:rsid w:val="00D24004"/>
    <w:rsid w:val="00D24186"/>
    <w:rsid w:val="00D241EF"/>
    <w:rsid w:val="00D24CA9"/>
    <w:rsid w:val="00D25D4D"/>
    <w:rsid w:val="00D25DD8"/>
    <w:rsid w:val="00D25E2B"/>
    <w:rsid w:val="00D270D8"/>
    <w:rsid w:val="00D272EF"/>
    <w:rsid w:val="00D27A03"/>
    <w:rsid w:val="00D30A46"/>
    <w:rsid w:val="00D30C7F"/>
    <w:rsid w:val="00D3134A"/>
    <w:rsid w:val="00D31D74"/>
    <w:rsid w:val="00D320D6"/>
    <w:rsid w:val="00D322E3"/>
    <w:rsid w:val="00D326B0"/>
    <w:rsid w:val="00D3330B"/>
    <w:rsid w:val="00D343B6"/>
    <w:rsid w:val="00D34A24"/>
    <w:rsid w:val="00D35403"/>
    <w:rsid w:val="00D35420"/>
    <w:rsid w:val="00D35B10"/>
    <w:rsid w:val="00D3674F"/>
    <w:rsid w:val="00D36873"/>
    <w:rsid w:val="00D369BB"/>
    <w:rsid w:val="00D36C48"/>
    <w:rsid w:val="00D37451"/>
    <w:rsid w:val="00D3746D"/>
    <w:rsid w:val="00D375DD"/>
    <w:rsid w:val="00D37D09"/>
    <w:rsid w:val="00D40192"/>
    <w:rsid w:val="00D4103C"/>
    <w:rsid w:val="00D41908"/>
    <w:rsid w:val="00D41B7C"/>
    <w:rsid w:val="00D4216F"/>
    <w:rsid w:val="00D427F4"/>
    <w:rsid w:val="00D42E81"/>
    <w:rsid w:val="00D43577"/>
    <w:rsid w:val="00D436C4"/>
    <w:rsid w:val="00D43CF9"/>
    <w:rsid w:val="00D43D18"/>
    <w:rsid w:val="00D43E45"/>
    <w:rsid w:val="00D445B2"/>
    <w:rsid w:val="00D447FD"/>
    <w:rsid w:val="00D44B3D"/>
    <w:rsid w:val="00D44CAA"/>
    <w:rsid w:val="00D45417"/>
    <w:rsid w:val="00D454CF"/>
    <w:rsid w:val="00D45821"/>
    <w:rsid w:val="00D45ABA"/>
    <w:rsid w:val="00D46378"/>
    <w:rsid w:val="00D47789"/>
    <w:rsid w:val="00D47968"/>
    <w:rsid w:val="00D479AD"/>
    <w:rsid w:val="00D47A55"/>
    <w:rsid w:val="00D47C99"/>
    <w:rsid w:val="00D50486"/>
    <w:rsid w:val="00D50518"/>
    <w:rsid w:val="00D50647"/>
    <w:rsid w:val="00D50664"/>
    <w:rsid w:val="00D5072E"/>
    <w:rsid w:val="00D5074F"/>
    <w:rsid w:val="00D50EA8"/>
    <w:rsid w:val="00D50FD4"/>
    <w:rsid w:val="00D511A3"/>
    <w:rsid w:val="00D51255"/>
    <w:rsid w:val="00D516B4"/>
    <w:rsid w:val="00D51C2F"/>
    <w:rsid w:val="00D51FCB"/>
    <w:rsid w:val="00D5260B"/>
    <w:rsid w:val="00D526A9"/>
    <w:rsid w:val="00D5317C"/>
    <w:rsid w:val="00D53AA9"/>
    <w:rsid w:val="00D53D93"/>
    <w:rsid w:val="00D53E29"/>
    <w:rsid w:val="00D53F97"/>
    <w:rsid w:val="00D5513F"/>
    <w:rsid w:val="00D55382"/>
    <w:rsid w:val="00D55B5D"/>
    <w:rsid w:val="00D55CA1"/>
    <w:rsid w:val="00D565FD"/>
    <w:rsid w:val="00D56DBC"/>
    <w:rsid w:val="00D5738B"/>
    <w:rsid w:val="00D576D5"/>
    <w:rsid w:val="00D57887"/>
    <w:rsid w:val="00D57B5D"/>
    <w:rsid w:val="00D6007C"/>
    <w:rsid w:val="00D6058B"/>
    <w:rsid w:val="00D60597"/>
    <w:rsid w:val="00D6085B"/>
    <w:rsid w:val="00D60A3D"/>
    <w:rsid w:val="00D60E7A"/>
    <w:rsid w:val="00D61112"/>
    <w:rsid w:val="00D613AA"/>
    <w:rsid w:val="00D61660"/>
    <w:rsid w:val="00D616A3"/>
    <w:rsid w:val="00D6176C"/>
    <w:rsid w:val="00D617C8"/>
    <w:rsid w:val="00D619EC"/>
    <w:rsid w:val="00D61EF3"/>
    <w:rsid w:val="00D6238B"/>
    <w:rsid w:val="00D623ED"/>
    <w:rsid w:val="00D62888"/>
    <w:rsid w:val="00D62F03"/>
    <w:rsid w:val="00D631CA"/>
    <w:rsid w:val="00D636FA"/>
    <w:rsid w:val="00D63916"/>
    <w:rsid w:val="00D63D45"/>
    <w:rsid w:val="00D63EB8"/>
    <w:rsid w:val="00D63F8F"/>
    <w:rsid w:val="00D647BE"/>
    <w:rsid w:val="00D647D9"/>
    <w:rsid w:val="00D64A60"/>
    <w:rsid w:val="00D64B97"/>
    <w:rsid w:val="00D64BDF"/>
    <w:rsid w:val="00D65DFC"/>
    <w:rsid w:val="00D66044"/>
    <w:rsid w:val="00D66C86"/>
    <w:rsid w:val="00D66F82"/>
    <w:rsid w:val="00D67645"/>
    <w:rsid w:val="00D70032"/>
    <w:rsid w:val="00D70A30"/>
    <w:rsid w:val="00D71869"/>
    <w:rsid w:val="00D71D3B"/>
    <w:rsid w:val="00D72018"/>
    <w:rsid w:val="00D7202B"/>
    <w:rsid w:val="00D721D2"/>
    <w:rsid w:val="00D72496"/>
    <w:rsid w:val="00D725A1"/>
    <w:rsid w:val="00D7274A"/>
    <w:rsid w:val="00D72C1A"/>
    <w:rsid w:val="00D72D92"/>
    <w:rsid w:val="00D72F1C"/>
    <w:rsid w:val="00D72F79"/>
    <w:rsid w:val="00D73084"/>
    <w:rsid w:val="00D732FA"/>
    <w:rsid w:val="00D732FB"/>
    <w:rsid w:val="00D734B8"/>
    <w:rsid w:val="00D73751"/>
    <w:rsid w:val="00D73970"/>
    <w:rsid w:val="00D73BB6"/>
    <w:rsid w:val="00D74295"/>
    <w:rsid w:val="00D742D6"/>
    <w:rsid w:val="00D74671"/>
    <w:rsid w:val="00D74B6F"/>
    <w:rsid w:val="00D75035"/>
    <w:rsid w:val="00D753E8"/>
    <w:rsid w:val="00D755BA"/>
    <w:rsid w:val="00D75D7F"/>
    <w:rsid w:val="00D75F52"/>
    <w:rsid w:val="00D7742B"/>
    <w:rsid w:val="00D776BE"/>
    <w:rsid w:val="00D77C4A"/>
    <w:rsid w:val="00D80232"/>
    <w:rsid w:val="00D803D5"/>
    <w:rsid w:val="00D8049A"/>
    <w:rsid w:val="00D807B0"/>
    <w:rsid w:val="00D80945"/>
    <w:rsid w:val="00D80E44"/>
    <w:rsid w:val="00D811D3"/>
    <w:rsid w:val="00D81DDA"/>
    <w:rsid w:val="00D82335"/>
    <w:rsid w:val="00D82951"/>
    <w:rsid w:val="00D82AE1"/>
    <w:rsid w:val="00D838E6"/>
    <w:rsid w:val="00D83945"/>
    <w:rsid w:val="00D8488B"/>
    <w:rsid w:val="00D852F8"/>
    <w:rsid w:val="00D85926"/>
    <w:rsid w:val="00D859AC"/>
    <w:rsid w:val="00D85A7D"/>
    <w:rsid w:val="00D85BBC"/>
    <w:rsid w:val="00D8632E"/>
    <w:rsid w:val="00D8674A"/>
    <w:rsid w:val="00D86803"/>
    <w:rsid w:val="00D86B09"/>
    <w:rsid w:val="00D873FF"/>
    <w:rsid w:val="00D87587"/>
    <w:rsid w:val="00D90998"/>
    <w:rsid w:val="00D91CAB"/>
    <w:rsid w:val="00D92EEE"/>
    <w:rsid w:val="00D934CC"/>
    <w:rsid w:val="00D93C47"/>
    <w:rsid w:val="00D947DC"/>
    <w:rsid w:val="00D947F6"/>
    <w:rsid w:val="00D949CA"/>
    <w:rsid w:val="00D94C67"/>
    <w:rsid w:val="00D9541A"/>
    <w:rsid w:val="00D954C4"/>
    <w:rsid w:val="00D95E70"/>
    <w:rsid w:val="00D965C7"/>
    <w:rsid w:val="00D968B5"/>
    <w:rsid w:val="00D96B9C"/>
    <w:rsid w:val="00D96D76"/>
    <w:rsid w:val="00D96FB1"/>
    <w:rsid w:val="00D9723D"/>
    <w:rsid w:val="00D97FE8"/>
    <w:rsid w:val="00DA02B3"/>
    <w:rsid w:val="00DA04A5"/>
    <w:rsid w:val="00DA075B"/>
    <w:rsid w:val="00DA1490"/>
    <w:rsid w:val="00DA18C5"/>
    <w:rsid w:val="00DA22CA"/>
    <w:rsid w:val="00DA2762"/>
    <w:rsid w:val="00DA3378"/>
    <w:rsid w:val="00DA344D"/>
    <w:rsid w:val="00DA364E"/>
    <w:rsid w:val="00DA3B85"/>
    <w:rsid w:val="00DA44D2"/>
    <w:rsid w:val="00DA4987"/>
    <w:rsid w:val="00DA4CBC"/>
    <w:rsid w:val="00DA5A47"/>
    <w:rsid w:val="00DA5DA7"/>
    <w:rsid w:val="00DA5FB3"/>
    <w:rsid w:val="00DA6032"/>
    <w:rsid w:val="00DA6356"/>
    <w:rsid w:val="00DA6D19"/>
    <w:rsid w:val="00DA709D"/>
    <w:rsid w:val="00DA718D"/>
    <w:rsid w:val="00DA74AF"/>
    <w:rsid w:val="00DA7F4B"/>
    <w:rsid w:val="00DB0424"/>
    <w:rsid w:val="00DB0BDC"/>
    <w:rsid w:val="00DB0D08"/>
    <w:rsid w:val="00DB1315"/>
    <w:rsid w:val="00DB1A2C"/>
    <w:rsid w:val="00DB21E7"/>
    <w:rsid w:val="00DB274A"/>
    <w:rsid w:val="00DB27D2"/>
    <w:rsid w:val="00DB27E2"/>
    <w:rsid w:val="00DB2945"/>
    <w:rsid w:val="00DB2D6D"/>
    <w:rsid w:val="00DB2E21"/>
    <w:rsid w:val="00DB2FF7"/>
    <w:rsid w:val="00DB378A"/>
    <w:rsid w:val="00DB4BDB"/>
    <w:rsid w:val="00DB4D5A"/>
    <w:rsid w:val="00DB5145"/>
    <w:rsid w:val="00DB5155"/>
    <w:rsid w:val="00DB5410"/>
    <w:rsid w:val="00DB586E"/>
    <w:rsid w:val="00DB64AF"/>
    <w:rsid w:val="00DB664C"/>
    <w:rsid w:val="00DB6662"/>
    <w:rsid w:val="00DB7400"/>
    <w:rsid w:val="00DB75B1"/>
    <w:rsid w:val="00DB7B41"/>
    <w:rsid w:val="00DB7B60"/>
    <w:rsid w:val="00DB7C2E"/>
    <w:rsid w:val="00DC0268"/>
    <w:rsid w:val="00DC0B04"/>
    <w:rsid w:val="00DC0B0B"/>
    <w:rsid w:val="00DC154B"/>
    <w:rsid w:val="00DC168E"/>
    <w:rsid w:val="00DC22D7"/>
    <w:rsid w:val="00DC2E7F"/>
    <w:rsid w:val="00DC31BA"/>
    <w:rsid w:val="00DC3505"/>
    <w:rsid w:val="00DC3583"/>
    <w:rsid w:val="00DC372D"/>
    <w:rsid w:val="00DC3C28"/>
    <w:rsid w:val="00DC4328"/>
    <w:rsid w:val="00DC4AF8"/>
    <w:rsid w:val="00DC5A15"/>
    <w:rsid w:val="00DC602C"/>
    <w:rsid w:val="00DC653C"/>
    <w:rsid w:val="00DC6DF6"/>
    <w:rsid w:val="00DC71DD"/>
    <w:rsid w:val="00DC7656"/>
    <w:rsid w:val="00DC776E"/>
    <w:rsid w:val="00DC77B3"/>
    <w:rsid w:val="00DC7B5D"/>
    <w:rsid w:val="00DC7DA3"/>
    <w:rsid w:val="00DC7E58"/>
    <w:rsid w:val="00DC7F87"/>
    <w:rsid w:val="00DD0AD7"/>
    <w:rsid w:val="00DD13AA"/>
    <w:rsid w:val="00DD17AF"/>
    <w:rsid w:val="00DD1976"/>
    <w:rsid w:val="00DD1BB2"/>
    <w:rsid w:val="00DD2003"/>
    <w:rsid w:val="00DD245B"/>
    <w:rsid w:val="00DD25A8"/>
    <w:rsid w:val="00DD2702"/>
    <w:rsid w:val="00DD2AAA"/>
    <w:rsid w:val="00DD2B66"/>
    <w:rsid w:val="00DD33B4"/>
    <w:rsid w:val="00DD3C5D"/>
    <w:rsid w:val="00DD3D5C"/>
    <w:rsid w:val="00DD3E6A"/>
    <w:rsid w:val="00DD3F9D"/>
    <w:rsid w:val="00DD44EF"/>
    <w:rsid w:val="00DD46BE"/>
    <w:rsid w:val="00DD4A73"/>
    <w:rsid w:val="00DD4A95"/>
    <w:rsid w:val="00DD4C4E"/>
    <w:rsid w:val="00DD4E2D"/>
    <w:rsid w:val="00DD4E97"/>
    <w:rsid w:val="00DD590F"/>
    <w:rsid w:val="00DD5BC4"/>
    <w:rsid w:val="00DD6005"/>
    <w:rsid w:val="00DD60B5"/>
    <w:rsid w:val="00DD6204"/>
    <w:rsid w:val="00DD65C1"/>
    <w:rsid w:val="00DD66E1"/>
    <w:rsid w:val="00DD6BD7"/>
    <w:rsid w:val="00DD6F94"/>
    <w:rsid w:val="00DD748E"/>
    <w:rsid w:val="00DD7676"/>
    <w:rsid w:val="00DD7DC9"/>
    <w:rsid w:val="00DD7F7B"/>
    <w:rsid w:val="00DE01A8"/>
    <w:rsid w:val="00DE0272"/>
    <w:rsid w:val="00DE0489"/>
    <w:rsid w:val="00DE070C"/>
    <w:rsid w:val="00DE089F"/>
    <w:rsid w:val="00DE10C5"/>
    <w:rsid w:val="00DE138F"/>
    <w:rsid w:val="00DE173D"/>
    <w:rsid w:val="00DE18CC"/>
    <w:rsid w:val="00DE230B"/>
    <w:rsid w:val="00DE2435"/>
    <w:rsid w:val="00DE2A04"/>
    <w:rsid w:val="00DE2AE5"/>
    <w:rsid w:val="00DE30FB"/>
    <w:rsid w:val="00DE3212"/>
    <w:rsid w:val="00DE3412"/>
    <w:rsid w:val="00DE3454"/>
    <w:rsid w:val="00DE37E8"/>
    <w:rsid w:val="00DE3836"/>
    <w:rsid w:val="00DE3C83"/>
    <w:rsid w:val="00DE3E59"/>
    <w:rsid w:val="00DE3F60"/>
    <w:rsid w:val="00DE402E"/>
    <w:rsid w:val="00DE435B"/>
    <w:rsid w:val="00DE4AB7"/>
    <w:rsid w:val="00DE5126"/>
    <w:rsid w:val="00DE5953"/>
    <w:rsid w:val="00DE627C"/>
    <w:rsid w:val="00DE67AC"/>
    <w:rsid w:val="00DE6A1D"/>
    <w:rsid w:val="00DE6EC3"/>
    <w:rsid w:val="00DE7119"/>
    <w:rsid w:val="00DE7383"/>
    <w:rsid w:val="00DE7698"/>
    <w:rsid w:val="00DE7947"/>
    <w:rsid w:val="00DE7A5F"/>
    <w:rsid w:val="00DE7D30"/>
    <w:rsid w:val="00DE7D4C"/>
    <w:rsid w:val="00DE7D79"/>
    <w:rsid w:val="00DE7E2F"/>
    <w:rsid w:val="00DE7FCF"/>
    <w:rsid w:val="00DF09A8"/>
    <w:rsid w:val="00DF0BB0"/>
    <w:rsid w:val="00DF0F26"/>
    <w:rsid w:val="00DF1006"/>
    <w:rsid w:val="00DF15B0"/>
    <w:rsid w:val="00DF1BDC"/>
    <w:rsid w:val="00DF1ED9"/>
    <w:rsid w:val="00DF2169"/>
    <w:rsid w:val="00DF28FE"/>
    <w:rsid w:val="00DF30AB"/>
    <w:rsid w:val="00DF337D"/>
    <w:rsid w:val="00DF37B7"/>
    <w:rsid w:val="00DF3A74"/>
    <w:rsid w:val="00DF3CA2"/>
    <w:rsid w:val="00DF4133"/>
    <w:rsid w:val="00DF4367"/>
    <w:rsid w:val="00DF443C"/>
    <w:rsid w:val="00DF4621"/>
    <w:rsid w:val="00DF4990"/>
    <w:rsid w:val="00DF4DFD"/>
    <w:rsid w:val="00DF4EA5"/>
    <w:rsid w:val="00DF50D4"/>
    <w:rsid w:val="00DF559B"/>
    <w:rsid w:val="00DF591C"/>
    <w:rsid w:val="00DF5A3E"/>
    <w:rsid w:val="00DF5D08"/>
    <w:rsid w:val="00DF62A2"/>
    <w:rsid w:val="00DF67B1"/>
    <w:rsid w:val="00DF690E"/>
    <w:rsid w:val="00DF72B6"/>
    <w:rsid w:val="00DF7666"/>
    <w:rsid w:val="00DF77F0"/>
    <w:rsid w:val="00DF783D"/>
    <w:rsid w:val="00DF7A2A"/>
    <w:rsid w:val="00DF7A63"/>
    <w:rsid w:val="00DF7B72"/>
    <w:rsid w:val="00DF7F65"/>
    <w:rsid w:val="00E009AB"/>
    <w:rsid w:val="00E00A86"/>
    <w:rsid w:val="00E00EA2"/>
    <w:rsid w:val="00E017BC"/>
    <w:rsid w:val="00E01CBA"/>
    <w:rsid w:val="00E020A3"/>
    <w:rsid w:val="00E027A0"/>
    <w:rsid w:val="00E0312B"/>
    <w:rsid w:val="00E032B3"/>
    <w:rsid w:val="00E03387"/>
    <w:rsid w:val="00E03D5C"/>
    <w:rsid w:val="00E0454C"/>
    <w:rsid w:val="00E0476B"/>
    <w:rsid w:val="00E0493B"/>
    <w:rsid w:val="00E06380"/>
    <w:rsid w:val="00E06515"/>
    <w:rsid w:val="00E06583"/>
    <w:rsid w:val="00E0683F"/>
    <w:rsid w:val="00E06AFA"/>
    <w:rsid w:val="00E06C83"/>
    <w:rsid w:val="00E06EA2"/>
    <w:rsid w:val="00E07229"/>
    <w:rsid w:val="00E07298"/>
    <w:rsid w:val="00E0729B"/>
    <w:rsid w:val="00E0768C"/>
    <w:rsid w:val="00E07716"/>
    <w:rsid w:val="00E07839"/>
    <w:rsid w:val="00E07D2A"/>
    <w:rsid w:val="00E07F8E"/>
    <w:rsid w:val="00E100D8"/>
    <w:rsid w:val="00E102D7"/>
    <w:rsid w:val="00E103C6"/>
    <w:rsid w:val="00E10563"/>
    <w:rsid w:val="00E10D97"/>
    <w:rsid w:val="00E10DBB"/>
    <w:rsid w:val="00E11B44"/>
    <w:rsid w:val="00E11B96"/>
    <w:rsid w:val="00E11C78"/>
    <w:rsid w:val="00E11D91"/>
    <w:rsid w:val="00E11EF7"/>
    <w:rsid w:val="00E12451"/>
    <w:rsid w:val="00E124D6"/>
    <w:rsid w:val="00E12BF6"/>
    <w:rsid w:val="00E12E77"/>
    <w:rsid w:val="00E130CB"/>
    <w:rsid w:val="00E13B09"/>
    <w:rsid w:val="00E140A7"/>
    <w:rsid w:val="00E14AFA"/>
    <w:rsid w:val="00E14D65"/>
    <w:rsid w:val="00E15175"/>
    <w:rsid w:val="00E15288"/>
    <w:rsid w:val="00E15713"/>
    <w:rsid w:val="00E16727"/>
    <w:rsid w:val="00E16919"/>
    <w:rsid w:val="00E170D8"/>
    <w:rsid w:val="00E17A8E"/>
    <w:rsid w:val="00E17B2A"/>
    <w:rsid w:val="00E17CD3"/>
    <w:rsid w:val="00E17F06"/>
    <w:rsid w:val="00E20386"/>
    <w:rsid w:val="00E20520"/>
    <w:rsid w:val="00E209A9"/>
    <w:rsid w:val="00E217E3"/>
    <w:rsid w:val="00E21991"/>
    <w:rsid w:val="00E21B53"/>
    <w:rsid w:val="00E21C0D"/>
    <w:rsid w:val="00E21C42"/>
    <w:rsid w:val="00E21EF0"/>
    <w:rsid w:val="00E22975"/>
    <w:rsid w:val="00E22AA9"/>
    <w:rsid w:val="00E23282"/>
    <w:rsid w:val="00E234C0"/>
    <w:rsid w:val="00E240AD"/>
    <w:rsid w:val="00E24407"/>
    <w:rsid w:val="00E245D2"/>
    <w:rsid w:val="00E245D3"/>
    <w:rsid w:val="00E24624"/>
    <w:rsid w:val="00E24711"/>
    <w:rsid w:val="00E24943"/>
    <w:rsid w:val="00E24DBD"/>
    <w:rsid w:val="00E24EFD"/>
    <w:rsid w:val="00E25263"/>
    <w:rsid w:val="00E2526B"/>
    <w:rsid w:val="00E253EA"/>
    <w:rsid w:val="00E25495"/>
    <w:rsid w:val="00E255AE"/>
    <w:rsid w:val="00E25D85"/>
    <w:rsid w:val="00E302CD"/>
    <w:rsid w:val="00E304B5"/>
    <w:rsid w:val="00E30517"/>
    <w:rsid w:val="00E3064D"/>
    <w:rsid w:val="00E3074E"/>
    <w:rsid w:val="00E3081F"/>
    <w:rsid w:val="00E308FB"/>
    <w:rsid w:val="00E31408"/>
    <w:rsid w:val="00E31AD4"/>
    <w:rsid w:val="00E31CAF"/>
    <w:rsid w:val="00E31E9D"/>
    <w:rsid w:val="00E31ECC"/>
    <w:rsid w:val="00E32522"/>
    <w:rsid w:val="00E32869"/>
    <w:rsid w:val="00E32A92"/>
    <w:rsid w:val="00E32DBA"/>
    <w:rsid w:val="00E32F95"/>
    <w:rsid w:val="00E33A03"/>
    <w:rsid w:val="00E33B30"/>
    <w:rsid w:val="00E33D0E"/>
    <w:rsid w:val="00E34444"/>
    <w:rsid w:val="00E35A0A"/>
    <w:rsid w:val="00E36168"/>
    <w:rsid w:val="00E36B49"/>
    <w:rsid w:val="00E36B9D"/>
    <w:rsid w:val="00E37300"/>
    <w:rsid w:val="00E37398"/>
    <w:rsid w:val="00E373B9"/>
    <w:rsid w:val="00E373BB"/>
    <w:rsid w:val="00E3766C"/>
    <w:rsid w:val="00E3775A"/>
    <w:rsid w:val="00E37989"/>
    <w:rsid w:val="00E4100C"/>
    <w:rsid w:val="00E42658"/>
    <w:rsid w:val="00E426F5"/>
    <w:rsid w:val="00E4275E"/>
    <w:rsid w:val="00E429B1"/>
    <w:rsid w:val="00E429B9"/>
    <w:rsid w:val="00E4300C"/>
    <w:rsid w:val="00E431A0"/>
    <w:rsid w:val="00E43241"/>
    <w:rsid w:val="00E4347B"/>
    <w:rsid w:val="00E43558"/>
    <w:rsid w:val="00E438B7"/>
    <w:rsid w:val="00E43C9A"/>
    <w:rsid w:val="00E43FAC"/>
    <w:rsid w:val="00E44116"/>
    <w:rsid w:val="00E442AF"/>
    <w:rsid w:val="00E44C8A"/>
    <w:rsid w:val="00E44E14"/>
    <w:rsid w:val="00E45014"/>
    <w:rsid w:val="00E457C7"/>
    <w:rsid w:val="00E45B3F"/>
    <w:rsid w:val="00E45B4A"/>
    <w:rsid w:val="00E46559"/>
    <w:rsid w:val="00E46A2E"/>
    <w:rsid w:val="00E4733E"/>
    <w:rsid w:val="00E473B9"/>
    <w:rsid w:val="00E473DE"/>
    <w:rsid w:val="00E475D3"/>
    <w:rsid w:val="00E5043E"/>
    <w:rsid w:val="00E50446"/>
    <w:rsid w:val="00E5070F"/>
    <w:rsid w:val="00E50C96"/>
    <w:rsid w:val="00E50E36"/>
    <w:rsid w:val="00E51F43"/>
    <w:rsid w:val="00E52075"/>
    <w:rsid w:val="00E52120"/>
    <w:rsid w:val="00E52366"/>
    <w:rsid w:val="00E5239D"/>
    <w:rsid w:val="00E524BD"/>
    <w:rsid w:val="00E52617"/>
    <w:rsid w:val="00E528CC"/>
    <w:rsid w:val="00E529E3"/>
    <w:rsid w:val="00E52A6F"/>
    <w:rsid w:val="00E52B47"/>
    <w:rsid w:val="00E52DC1"/>
    <w:rsid w:val="00E52EAE"/>
    <w:rsid w:val="00E52FE3"/>
    <w:rsid w:val="00E53086"/>
    <w:rsid w:val="00E53AD7"/>
    <w:rsid w:val="00E53D61"/>
    <w:rsid w:val="00E54082"/>
    <w:rsid w:val="00E54488"/>
    <w:rsid w:val="00E5486A"/>
    <w:rsid w:val="00E549CA"/>
    <w:rsid w:val="00E551E3"/>
    <w:rsid w:val="00E556AF"/>
    <w:rsid w:val="00E55B6A"/>
    <w:rsid w:val="00E5613D"/>
    <w:rsid w:val="00E564C4"/>
    <w:rsid w:val="00E56743"/>
    <w:rsid w:val="00E5687E"/>
    <w:rsid w:val="00E568C5"/>
    <w:rsid w:val="00E56BC9"/>
    <w:rsid w:val="00E57613"/>
    <w:rsid w:val="00E57E53"/>
    <w:rsid w:val="00E57FED"/>
    <w:rsid w:val="00E61A03"/>
    <w:rsid w:val="00E62126"/>
    <w:rsid w:val="00E624D8"/>
    <w:rsid w:val="00E62547"/>
    <w:rsid w:val="00E625AD"/>
    <w:rsid w:val="00E62AA3"/>
    <w:rsid w:val="00E62CE9"/>
    <w:rsid w:val="00E62EEF"/>
    <w:rsid w:val="00E639F5"/>
    <w:rsid w:val="00E63BAF"/>
    <w:rsid w:val="00E6405F"/>
    <w:rsid w:val="00E64386"/>
    <w:rsid w:val="00E65071"/>
    <w:rsid w:val="00E6519C"/>
    <w:rsid w:val="00E6545B"/>
    <w:rsid w:val="00E654C3"/>
    <w:rsid w:val="00E655A1"/>
    <w:rsid w:val="00E657C4"/>
    <w:rsid w:val="00E66470"/>
    <w:rsid w:val="00E66507"/>
    <w:rsid w:val="00E666DA"/>
    <w:rsid w:val="00E668C5"/>
    <w:rsid w:val="00E66A88"/>
    <w:rsid w:val="00E66BC9"/>
    <w:rsid w:val="00E677D8"/>
    <w:rsid w:val="00E67F59"/>
    <w:rsid w:val="00E70B69"/>
    <w:rsid w:val="00E715DD"/>
    <w:rsid w:val="00E71826"/>
    <w:rsid w:val="00E71B85"/>
    <w:rsid w:val="00E71D58"/>
    <w:rsid w:val="00E71F96"/>
    <w:rsid w:val="00E72481"/>
    <w:rsid w:val="00E724F3"/>
    <w:rsid w:val="00E72674"/>
    <w:rsid w:val="00E72CAD"/>
    <w:rsid w:val="00E737E9"/>
    <w:rsid w:val="00E73AF7"/>
    <w:rsid w:val="00E743C8"/>
    <w:rsid w:val="00E7447B"/>
    <w:rsid w:val="00E7480F"/>
    <w:rsid w:val="00E74A5D"/>
    <w:rsid w:val="00E74CB9"/>
    <w:rsid w:val="00E74F64"/>
    <w:rsid w:val="00E753ED"/>
    <w:rsid w:val="00E7581D"/>
    <w:rsid w:val="00E75C01"/>
    <w:rsid w:val="00E7644B"/>
    <w:rsid w:val="00E766C1"/>
    <w:rsid w:val="00E768E8"/>
    <w:rsid w:val="00E76906"/>
    <w:rsid w:val="00E7708C"/>
    <w:rsid w:val="00E772C1"/>
    <w:rsid w:val="00E77447"/>
    <w:rsid w:val="00E7772E"/>
    <w:rsid w:val="00E777BE"/>
    <w:rsid w:val="00E77850"/>
    <w:rsid w:val="00E77A54"/>
    <w:rsid w:val="00E77A7D"/>
    <w:rsid w:val="00E77B68"/>
    <w:rsid w:val="00E80292"/>
    <w:rsid w:val="00E80941"/>
    <w:rsid w:val="00E80E34"/>
    <w:rsid w:val="00E81875"/>
    <w:rsid w:val="00E81D9B"/>
    <w:rsid w:val="00E823A1"/>
    <w:rsid w:val="00E823E3"/>
    <w:rsid w:val="00E837E3"/>
    <w:rsid w:val="00E838B4"/>
    <w:rsid w:val="00E83956"/>
    <w:rsid w:val="00E839F2"/>
    <w:rsid w:val="00E840BD"/>
    <w:rsid w:val="00E8476D"/>
    <w:rsid w:val="00E84841"/>
    <w:rsid w:val="00E84DA8"/>
    <w:rsid w:val="00E85196"/>
    <w:rsid w:val="00E8539B"/>
    <w:rsid w:val="00E8541C"/>
    <w:rsid w:val="00E85535"/>
    <w:rsid w:val="00E85595"/>
    <w:rsid w:val="00E8570A"/>
    <w:rsid w:val="00E858EB"/>
    <w:rsid w:val="00E85B2B"/>
    <w:rsid w:val="00E85B35"/>
    <w:rsid w:val="00E85C79"/>
    <w:rsid w:val="00E86CED"/>
    <w:rsid w:val="00E86D57"/>
    <w:rsid w:val="00E873E0"/>
    <w:rsid w:val="00E876F9"/>
    <w:rsid w:val="00E87BFB"/>
    <w:rsid w:val="00E87C59"/>
    <w:rsid w:val="00E87F85"/>
    <w:rsid w:val="00E90191"/>
    <w:rsid w:val="00E902A3"/>
    <w:rsid w:val="00E908DC"/>
    <w:rsid w:val="00E90DCA"/>
    <w:rsid w:val="00E9108E"/>
    <w:rsid w:val="00E9136B"/>
    <w:rsid w:val="00E913AD"/>
    <w:rsid w:val="00E918DF"/>
    <w:rsid w:val="00E91D79"/>
    <w:rsid w:val="00E91F41"/>
    <w:rsid w:val="00E920E4"/>
    <w:rsid w:val="00E922F7"/>
    <w:rsid w:val="00E92430"/>
    <w:rsid w:val="00E928D2"/>
    <w:rsid w:val="00E92C2A"/>
    <w:rsid w:val="00E92E79"/>
    <w:rsid w:val="00E933B6"/>
    <w:rsid w:val="00E9358C"/>
    <w:rsid w:val="00E938D8"/>
    <w:rsid w:val="00E93D32"/>
    <w:rsid w:val="00E942F6"/>
    <w:rsid w:val="00E943C1"/>
    <w:rsid w:val="00E94546"/>
    <w:rsid w:val="00E94760"/>
    <w:rsid w:val="00E94857"/>
    <w:rsid w:val="00E95562"/>
    <w:rsid w:val="00E95953"/>
    <w:rsid w:val="00E96395"/>
    <w:rsid w:val="00E96802"/>
    <w:rsid w:val="00E96BCE"/>
    <w:rsid w:val="00E97136"/>
    <w:rsid w:val="00E97AEB"/>
    <w:rsid w:val="00EA0040"/>
    <w:rsid w:val="00EA06FC"/>
    <w:rsid w:val="00EA0C0C"/>
    <w:rsid w:val="00EA15F7"/>
    <w:rsid w:val="00EA18D7"/>
    <w:rsid w:val="00EA2126"/>
    <w:rsid w:val="00EA2339"/>
    <w:rsid w:val="00EA2DD5"/>
    <w:rsid w:val="00EA31E8"/>
    <w:rsid w:val="00EA3853"/>
    <w:rsid w:val="00EA4205"/>
    <w:rsid w:val="00EA48CB"/>
    <w:rsid w:val="00EA59F5"/>
    <w:rsid w:val="00EA5F44"/>
    <w:rsid w:val="00EA66A5"/>
    <w:rsid w:val="00EA6B0B"/>
    <w:rsid w:val="00EA6E53"/>
    <w:rsid w:val="00EA7269"/>
    <w:rsid w:val="00EA72EE"/>
    <w:rsid w:val="00EA7390"/>
    <w:rsid w:val="00EA74D2"/>
    <w:rsid w:val="00EA7503"/>
    <w:rsid w:val="00EA7AFC"/>
    <w:rsid w:val="00EA7FA6"/>
    <w:rsid w:val="00EB0664"/>
    <w:rsid w:val="00EB080E"/>
    <w:rsid w:val="00EB0B42"/>
    <w:rsid w:val="00EB0DBD"/>
    <w:rsid w:val="00EB0F92"/>
    <w:rsid w:val="00EB152F"/>
    <w:rsid w:val="00EB19EE"/>
    <w:rsid w:val="00EB21C1"/>
    <w:rsid w:val="00EB2435"/>
    <w:rsid w:val="00EB2641"/>
    <w:rsid w:val="00EB28E2"/>
    <w:rsid w:val="00EB2DBF"/>
    <w:rsid w:val="00EB3118"/>
    <w:rsid w:val="00EB3280"/>
    <w:rsid w:val="00EB3318"/>
    <w:rsid w:val="00EB3C8A"/>
    <w:rsid w:val="00EB3C96"/>
    <w:rsid w:val="00EB46FF"/>
    <w:rsid w:val="00EB534E"/>
    <w:rsid w:val="00EB535B"/>
    <w:rsid w:val="00EB5451"/>
    <w:rsid w:val="00EB5CCF"/>
    <w:rsid w:val="00EB609F"/>
    <w:rsid w:val="00EB660D"/>
    <w:rsid w:val="00EB683C"/>
    <w:rsid w:val="00EB6D30"/>
    <w:rsid w:val="00EB7852"/>
    <w:rsid w:val="00EB7931"/>
    <w:rsid w:val="00EB79B9"/>
    <w:rsid w:val="00EC0087"/>
    <w:rsid w:val="00EC0352"/>
    <w:rsid w:val="00EC0B0A"/>
    <w:rsid w:val="00EC0E55"/>
    <w:rsid w:val="00EC107A"/>
    <w:rsid w:val="00EC1589"/>
    <w:rsid w:val="00EC1696"/>
    <w:rsid w:val="00EC2236"/>
    <w:rsid w:val="00EC25AC"/>
    <w:rsid w:val="00EC29AC"/>
    <w:rsid w:val="00EC38E3"/>
    <w:rsid w:val="00EC4EE5"/>
    <w:rsid w:val="00EC53C9"/>
    <w:rsid w:val="00EC5447"/>
    <w:rsid w:val="00EC566D"/>
    <w:rsid w:val="00EC5EB4"/>
    <w:rsid w:val="00EC66D2"/>
    <w:rsid w:val="00EC69CF"/>
    <w:rsid w:val="00EC6F1F"/>
    <w:rsid w:val="00EC720F"/>
    <w:rsid w:val="00EC73C5"/>
    <w:rsid w:val="00EC7B65"/>
    <w:rsid w:val="00ED03B1"/>
    <w:rsid w:val="00ED05BD"/>
    <w:rsid w:val="00ED0E41"/>
    <w:rsid w:val="00ED0EF1"/>
    <w:rsid w:val="00ED11AE"/>
    <w:rsid w:val="00ED1395"/>
    <w:rsid w:val="00ED1472"/>
    <w:rsid w:val="00ED16B6"/>
    <w:rsid w:val="00ED16CC"/>
    <w:rsid w:val="00ED1953"/>
    <w:rsid w:val="00ED1CBE"/>
    <w:rsid w:val="00ED1E83"/>
    <w:rsid w:val="00ED1FBF"/>
    <w:rsid w:val="00ED22D1"/>
    <w:rsid w:val="00ED2B13"/>
    <w:rsid w:val="00ED2E23"/>
    <w:rsid w:val="00ED3080"/>
    <w:rsid w:val="00ED310E"/>
    <w:rsid w:val="00ED3F2E"/>
    <w:rsid w:val="00ED4575"/>
    <w:rsid w:val="00ED48C3"/>
    <w:rsid w:val="00ED4D7E"/>
    <w:rsid w:val="00ED4E76"/>
    <w:rsid w:val="00ED5046"/>
    <w:rsid w:val="00ED593F"/>
    <w:rsid w:val="00ED6DCF"/>
    <w:rsid w:val="00ED6E9E"/>
    <w:rsid w:val="00ED76B1"/>
    <w:rsid w:val="00ED779C"/>
    <w:rsid w:val="00EE0149"/>
    <w:rsid w:val="00EE061E"/>
    <w:rsid w:val="00EE0973"/>
    <w:rsid w:val="00EE09B6"/>
    <w:rsid w:val="00EE1363"/>
    <w:rsid w:val="00EE13DF"/>
    <w:rsid w:val="00EE162D"/>
    <w:rsid w:val="00EE18B8"/>
    <w:rsid w:val="00EE1957"/>
    <w:rsid w:val="00EE1B75"/>
    <w:rsid w:val="00EE1ECA"/>
    <w:rsid w:val="00EE258C"/>
    <w:rsid w:val="00EE2953"/>
    <w:rsid w:val="00EE32CE"/>
    <w:rsid w:val="00EE3DDD"/>
    <w:rsid w:val="00EE3EF7"/>
    <w:rsid w:val="00EE46EA"/>
    <w:rsid w:val="00EE46FE"/>
    <w:rsid w:val="00EE4951"/>
    <w:rsid w:val="00EE49B4"/>
    <w:rsid w:val="00EE563C"/>
    <w:rsid w:val="00EE56B1"/>
    <w:rsid w:val="00EE599A"/>
    <w:rsid w:val="00EE5CA9"/>
    <w:rsid w:val="00EE5DB4"/>
    <w:rsid w:val="00EE5F9B"/>
    <w:rsid w:val="00EE61F7"/>
    <w:rsid w:val="00EE6435"/>
    <w:rsid w:val="00EE6633"/>
    <w:rsid w:val="00EE73DB"/>
    <w:rsid w:val="00EE7714"/>
    <w:rsid w:val="00EE7A10"/>
    <w:rsid w:val="00EE7EF8"/>
    <w:rsid w:val="00EF0319"/>
    <w:rsid w:val="00EF0F28"/>
    <w:rsid w:val="00EF1112"/>
    <w:rsid w:val="00EF1D71"/>
    <w:rsid w:val="00EF1E1E"/>
    <w:rsid w:val="00EF22C0"/>
    <w:rsid w:val="00EF2E23"/>
    <w:rsid w:val="00EF37F3"/>
    <w:rsid w:val="00EF3933"/>
    <w:rsid w:val="00EF3BB7"/>
    <w:rsid w:val="00EF447C"/>
    <w:rsid w:val="00EF4538"/>
    <w:rsid w:val="00EF45CD"/>
    <w:rsid w:val="00EF4888"/>
    <w:rsid w:val="00EF4B47"/>
    <w:rsid w:val="00EF505B"/>
    <w:rsid w:val="00EF534E"/>
    <w:rsid w:val="00EF53D6"/>
    <w:rsid w:val="00EF63DF"/>
    <w:rsid w:val="00EF674E"/>
    <w:rsid w:val="00EF6B6E"/>
    <w:rsid w:val="00EF70D3"/>
    <w:rsid w:val="00EF72EC"/>
    <w:rsid w:val="00EF748A"/>
    <w:rsid w:val="00EF7E37"/>
    <w:rsid w:val="00F003E2"/>
    <w:rsid w:val="00F00634"/>
    <w:rsid w:val="00F00896"/>
    <w:rsid w:val="00F00B4D"/>
    <w:rsid w:val="00F00BFF"/>
    <w:rsid w:val="00F00D51"/>
    <w:rsid w:val="00F00F18"/>
    <w:rsid w:val="00F01C34"/>
    <w:rsid w:val="00F01DFA"/>
    <w:rsid w:val="00F0203D"/>
    <w:rsid w:val="00F02233"/>
    <w:rsid w:val="00F022B5"/>
    <w:rsid w:val="00F02EF3"/>
    <w:rsid w:val="00F039FF"/>
    <w:rsid w:val="00F03A7A"/>
    <w:rsid w:val="00F03B8C"/>
    <w:rsid w:val="00F040C3"/>
    <w:rsid w:val="00F050C1"/>
    <w:rsid w:val="00F051F3"/>
    <w:rsid w:val="00F055DD"/>
    <w:rsid w:val="00F05803"/>
    <w:rsid w:val="00F058A7"/>
    <w:rsid w:val="00F05980"/>
    <w:rsid w:val="00F05BAE"/>
    <w:rsid w:val="00F05C70"/>
    <w:rsid w:val="00F05D50"/>
    <w:rsid w:val="00F066BD"/>
    <w:rsid w:val="00F069CB"/>
    <w:rsid w:val="00F06B5E"/>
    <w:rsid w:val="00F07446"/>
    <w:rsid w:val="00F076EB"/>
    <w:rsid w:val="00F0777C"/>
    <w:rsid w:val="00F0782D"/>
    <w:rsid w:val="00F07A18"/>
    <w:rsid w:val="00F07DCD"/>
    <w:rsid w:val="00F106E0"/>
    <w:rsid w:val="00F10999"/>
    <w:rsid w:val="00F10BCD"/>
    <w:rsid w:val="00F10CC1"/>
    <w:rsid w:val="00F10D54"/>
    <w:rsid w:val="00F11C9C"/>
    <w:rsid w:val="00F11CB2"/>
    <w:rsid w:val="00F1202C"/>
    <w:rsid w:val="00F120CC"/>
    <w:rsid w:val="00F12162"/>
    <w:rsid w:val="00F126F7"/>
    <w:rsid w:val="00F1286F"/>
    <w:rsid w:val="00F1290A"/>
    <w:rsid w:val="00F12AC4"/>
    <w:rsid w:val="00F12CA8"/>
    <w:rsid w:val="00F133E2"/>
    <w:rsid w:val="00F135E8"/>
    <w:rsid w:val="00F138E2"/>
    <w:rsid w:val="00F13CA0"/>
    <w:rsid w:val="00F14510"/>
    <w:rsid w:val="00F1455F"/>
    <w:rsid w:val="00F14C87"/>
    <w:rsid w:val="00F14CA3"/>
    <w:rsid w:val="00F1592A"/>
    <w:rsid w:val="00F15B46"/>
    <w:rsid w:val="00F16924"/>
    <w:rsid w:val="00F16BBF"/>
    <w:rsid w:val="00F16FF7"/>
    <w:rsid w:val="00F178AF"/>
    <w:rsid w:val="00F178BA"/>
    <w:rsid w:val="00F17AC3"/>
    <w:rsid w:val="00F17FDD"/>
    <w:rsid w:val="00F20457"/>
    <w:rsid w:val="00F205D5"/>
    <w:rsid w:val="00F205E5"/>
    <w:rsid w:val="00F210A0"/>
    <w:rsid w:val="00F210F7"/>
    <w:rsid w:val="00F216A4"/>
    <w:rsid w:val="00F21737"/>
    <w:rsid w:val="00F217DE"/>
    <w:rsid w:val="00F217EA"/>
    <w:rsid w:val="00F221F1"/>
    <w:rsid w:val="00F22293"/>
    <w:rsid w:val="00F2249A"/>
    <w:rsid w:val="00F2256E"/>
    <w:rsid w:val="00F22CB3"/>
    <w:rsid w:val="00F22E3C"/>
    <w:rsid w:val="00F240FD"/>
    <w:rsid w:val="00F24174"/>
    <w:rsid w:val="00F24392"/>
    <w:rsid w:val="00F24DAC"/>
    <w:rsid w:val="00F250AF"/>
    <w:rsid w:val="00F257E3"/>
    <w:rsid w:val="00F258EF"/>
    <w:rsid w:val="00F259AC"/>
    <w:rsid w:val="00F25DC8"/>
    <w:rsid w:val="00F2615A"/>
    <w:rsid w:val="00F2623B"/>
    <w:rsid w:val="00F26555"/>
    <w:rsid w:val="00F268DC"/>
    <w:rsid w:val="00F275EE"/>
    <w:rsid w:val="00F300BC"/>
    <w:rsid w:val="00F3084D"/>
    <w:rsid w:val="00F3094C"/>
    <w:rsid w:val="00F31667"/>
    <w:rsid w:val="00F31870"/>
    <w:rsid w:val="00F31B45"/>
    <w:rsid w:val="00F321C8"/>
    <w:rsid w:val="00F32433"/>
    <w:rsid w:val="00F326D0"/>
    <w:rsid w:val="00F32AA5"/>
    <w:rsid w:val="00F32BA1"/>
    <w:rsid w:val="00F32E53"/>
    <w:rsid w:val="00F330D2"/>
    <w:rsid w:val="00F33968"/>
    <w:rsid w:val="00F34BC1"/>
    <w:rsid w:val="00F34BE1"/>
    <w:rsid w:val="00F351FC"/>
    <w:rsid w:val="00F35AD9"/>
    <w:rsid w:val="00F35E1D"/>
    <w:rsid w:val="00F36034"/>
    <w:rsid w:val="00F366DD"/>
    <w:rsid w:val="00F36FA2"/>
    <w:rsid w:val="00F36FEB"/>
    <w:rsid w:val="00F3701A"/>
    <w:rsid w:val="00F3737D"/>
    <w:rsid w:val="00F37C1E"/>
    <w:rsid w:val="00F37CA3"/>
    <w:rsid w:val="00F40072"/>
    <w:rsid w:val="00F40960"/>
    <w:rsid w:val="00F409A3"/>
    <w:rsid w:val="00F40CB2"/>
    <w:rsid w:val="00F40E51"/>
    <w:rsid w:val="00F40FE6"/>
    <w:rsid w:val="00F4103F"/>
    <w:rsid w:val="00F41450"/>
    <w:rsid w:val="00F41552"/>
    <w:rsid w:val="00F415F8"/>
    <w:rsid w:val="00F41910"/>
    <w:rsid w:val="00F41F9D"/>
    <w:rsid w:val="00F42089"/>
    <w:rsid w:val="00F4216E"/>
    <w:rsid w:val="00F42182"/>
    <w:rsid w:val="00F4235F"/>
    <w:rsid w:val="00F42B9F"/>
    <w:rsid w:val="00F437AC"/>
    <w:rsid w:val="00F43B43"/>
    <w:rsid w:val="00F43C06"/>
    <w:rsid w:val="00F443C2"/>
    <w:rsid w:val="00F44586"/>
    <w:rsid w:val="00F44A39"/>
    <w:rsid w:val="00F44BB2"/>
    <w:rsid w:val="00F44E10"/>
    <w:rsid w:val="00F45FA3"/>
    <w:rsid w:val="00F45FC1"/>
    <w:rsid w:val="00F4628F"/>
    <w:rsid w:val="00F46ADC"/>
    <w:rsid w:val="00F47566"/>
    <w:rsid w:val="00F50014"/>
    <w:rsid w:val="00F50386"/>
    <w:rsid w:val="00F5066D"/>
    <w:rsid w:val="00F507A2"/>
    <w:rsid w:val="00F50A0D"/>
    <w:rsid w:val="00F50F68"/>
    <w:rsid w:val="00F51D66"/>
    <w:rsid w:val="00F523B6"/>
    <w:rsid w:val="00F5243B"/>
    <w:rsid w:val="00F52478"/>
    <w:rsid w:val="00F5391B"/>
    <w:rsid w:val="00F53C4C"/>
    <w:rsid w:val="00F53EFB"/>
    <w:rsid w:val="00F5438F"/>
    <w:rsid w:val="00F54C33"/>
    <w:rsid w:val="00F54F24"/>
    <w:rsid w:val="00F550C1"/>
    <w:rsid w:val="00F55A1B"/>
    <w:rsid w:val="00F55E06"/>
    <w:rsid w:val="00F565A7"/>
    <w:rsid w:val="00F56AAE"/>
    <w:rsid w:val="00F56CC0"/>
    <w:rsid w:val="00F56E9D"/>
    <w:rsid w:val="00F57486"/>
    <w:rsid w:val="00F577AF"/>
    <w:rsid w:val="00F57817"/>
    <w:rsid w:val="00F579FD"/>
    <w:rsid w:val="00F6003D"/>
    <w:rsid w:val="00F60595"/>
    <w:rsid w:val="00F60BDE"/>
    <w:rsid w:val="00F61565"/>
    <w:rsid w:val="00F615CB"/>
    <w:rsid w:val="00F61682"/>
    <w:rsid w:val="00F61922"/>
    <w:rsid w:val="00F61B82"/>
    <w:rsid w:val="00F61CDB"/>
    <w:rsid w:val="00F61D36"/>
    <w:rsid w:val="00F61EFC"/>
    <w:rsid w:val="00F6244E"/>
    <w:rsid w:val="00F63046"/>
    <w:rsid w:val="00F63077"/>
    <w:rsid w:val="00F633E5"/>
    <w:rsid w:val="00F63792"/>
    <w:rsid w:val="00F63B02"/>
    <w:rsid w:val="00F63C7A"/>
    <w:rsid w:val="00F63D3D"/>
    <w:rsid w:val="00F64782"/>
    <w:rsid w:val="00F64936"/>
    <w:rsid w:val="00F6515C"/>
    <w:rsid w:val="00F65929"/>
    <w:rsid w:val="00F659D8"/>
    <w:rsid w:val="00F664E3"/>
    <w:rsid w:val="00F6719D"/>
    <w:rsid w:val="00F6726F"/>
    <w:rsid w:val="00F6789D"/>
    <w:rsid w:val="00F67EDC"/>
    <w:rsid w:val="00F7011C"/>
    <w:rsid w:val="00F70279"/>
    <w:rsid w:val="00F702AF"/>
    <w:rsid w:val="00F704C5"/>
    <w:rsid w:val="00F70528"/>
    <w:rsid w:val="00F707F9"/>
    <w:rsid w:val="00F70B8D"/>
    <w:rsid w:val="00F70DBC"/>
    <w:rsid w:val="00F71218"/>
    <w:rsid w:val="00F71881"/>
    <w:rsid w:val="00F71CE6"/>
    <w:rsid w:val="00F722B5"/>
    <w:rsid w:val="00F722C8"/>
    <w:rsid w:val="00F72B52"/>
    <w:rsid w:val="00F72C00"/>
    <w:rsid w:val="00F74538"/>
    <w:rsid w:val="00F74DAB"/>
    <w:rsid w:val="00F75661"/>
    <w:rsid w:val="00F75EA5"/>
    <w:rsid w:val="00F75F20"/>
    <w:rsid w:val="00F75F5D"/>
    <w:rsid w:val="00F76088"/>
    <w:rsid w:val="00F761D5"/>
    <w:rsid w:val="00F762ED"/>
    <w:rsid w:val="00F76E4E"/>
    <w:rsid w:val="00F770A2"/>
    <w:rsid w:val="00F77345"/>
    <w:rsid w:val="00F7739F"/>
    <w:rsid w:val="00F8089B"/>
    <w:rsid w:val="00F80B3B"/>
    <w:rsid w:val="00F811BB"/>
    <w:rsid w:val="00F811C4"/>
    <w:rsid w:val="00F817C4"/>
    <w:rsid w:val="00F819B0"/>
    <w:rsid w:val="00F82006"/>
    <w:rsid w:val="00F8206C"/>
    <w:rsid w:val="00F823B6"/>
    <w:rsid w:val="00F828E3"/>
    <w:rsid w:val="00F8322C"/>
    <w:rsid w:val="00F833D1"/>
    <w:rsid w:val="00F834DC"/>
    <w:rsid w:val="00F835C2"/>
    <w:rsid w:val="00F83BA0"/>
    <w:rsid w:val="00F83CFE"/>
    <w:rsid w:val="00F83E03"/>
    <w:rsid w:val="00F83E1E"/>
    <w:rsid w:val="00F83F45"/>
    <w:rsid w:val="00F8425E"/>
    <w:rsid w:val="00F842BD"/>
    <w:rsid w:val="00F842DD"/>
    <w:rsid w:val="00F848A1"/>
    <w:rsid w:val="00F84AFA"/>
    <w:rsid w:val="00F84EE1"/>
    <w:rsid w:val="00F851DC"/>
    <w:rsid w:val="00F855EF"/>
    <w:rsid w:val="00F85976"/>
    <w:rsid w:val="00F85B09"/>
    <w:rsid w:val="00F863FB"/>
    <w:rsid w:val="00F86A9E"/>
    <w:rsid w:val="00F86AAB"/>
    <w:rsid w:val="00F86D38"/>
    <w:rsid w:val="00F86F02"/>
    <w:rsid w:val="00F87224"/>
    <w:rsid w:val="00F8748E"/>
    <w:rsid w:val="00F8770D"/>
    <w:rsid w:val="00F90082"/>
    <w:rsid w:val="00F905EF"/>
    <w:rsid w:val="00F908B7"/>
    <w:rsid w:val="00F909E6"/>
    <w:rsid w:val="00F90B2D"/>
    <w:rsid w:val="00F90FF6"/>
    <w:rsid w:val="00F9128A"/>
    <w:rsid w:val="00F9176A"/>
    <w:rsid w:val="00F926F4"/>
    <w:rsid w:val="00F9298C"/>
    <w:rsid w:val="00F92D36"/>
    <w:rsid w:val="00F9304E"/>
    <w:rsid w:val="00F94338"/>
    <w:rsid w:val="00F94355"/>
    <w:rsid w:val="00F94ACE"/>
    <w:rsid w:val="00F957D6"/>
    <w:rsid w:val="00F95B94"/>
    <w:rsid w:val="00F95BE2"/>
    <w:rsid w:val="00F96007"/>
    <w:rsid w:val="00F960C6"/>
    <w:rsid w:val="00F96A28"/>
    <w:rsid w:val="00F96A36"/>
    <w:rsid w:val="00F97698"/>
    <w:rsid w:val="00F97771"/>
    <w:rsid w:val="00F977B8"/>
    <w:rsid w:val="00F97D2E"/>
    <w:rsid w:val="00FA06A9"/>
    <w:rsid w:val="00FA12E1"/>
    <w:rsid w:val="00FA1494"/>
    <w:rsid w:val="00FA14BE"/>
    <w:rsid w:val="00FA18A0"/>
    <w:rsid w:val="00FA1F99"/>
    <w:rsid w:val="00FA226A"/>
    <w:rsid w:val="00FA276A"/>
    <w:rsid w:val="00FA2B68"/>
    <w:rsid w:val="00FA2BA1"/>
    <w:rsid w:val="00FA2C04"/>
    <w:rsid w:val="00FA2E9B"/>
    <w:rsid w:val="00FA3A77"/>
    <w:rsid w:val="00FA3CDF"/>
    <w:rsid w:val="00FA41CA"/>
    <w:rsid w:val="00FA5118"/>
    <w:rsid w:val="00FA53D6"/>
    <w:rsid w:val="00FA5B08"/>
    <w:rsid w:val="00FA6824"/>
    <w:rsid w:val="00FA6CD8"/>
    <w:rsid w:val="00FA6D2D"/>
    <w:rsid w:val="00FA6DAF"/>
    <w:rsid w:val="00FA7456"/>
    <w:rsid w:val="00FA74F0"/>
    <w:rsid w:val="00FA79A1"/>
    <w:rsid w:val="00FA7F0F"/>
    <w:rsid w:val="00FB0355"/>
    <w:rsid w:val="00FB042F"/>
    <w:rsid w:val="00FB0BE3"/>
    <w:rsid w:val="00FB0ECC"/>
    <w:rsid w:val="00FB1091"/>
    <w:rsid w:val="00FB13F9"/>
    <w:rsid w:val="00FB14E8"/>
    <w:rsid w:val="00FB16FC"/>
    <w:rsid w:val="00FB197F"/>
    <w:rsid w:val="00FB2302"/>
    <w:rsid w:val="00FB2AA8"/>
    <w:rsid w:val="00FB34FC"/>
    <w:rsid w:val="00FB3796"/>
    <w:rsid w:val="00FB42C9"/>
    <w:rsid w:val="00FB4370"/>
    <w:rsid w:val="00FB43A7"/>
    <w:rsid w:val="00FB44D2"/>
    <w:rsid w:val="00FB458F"/>
    <w:rsid w:val="00FB4B4B"/>
    <w:rsid w:val="00FB4EB6"/>
    <w:rsid w:val="00FB5231"/>
    <w:rsid w:val="00FB541E"/>
    <w:rsid w:val="00FB5463"/>
    <w:rsid w:val="00FB5599"/>
    <w:rsid w:val="00FB5A40"/>
    <w:rsid w:val="00FB5A68"/>
    <w:rsid w:val="00FB5DB2"/>
    <w:rsid w:val="00FB61EB"/>
    <w:rsid w:val="00FB621D"/>
    <w:rsid w:val="00FB73CF"/>
    <w:rsid w:val="00FB7669"/>
    <w:rsid w:val="00FB7810"/>
    <w:rsid w:val="00FB7CB8"/>
    <w:rsid w:val="00FB7FA8"/>
    <w:rsid w:val="00FC039A"/>
    <w:rsid w:val="00FC07C6"/>
    <w:rsid w:val="00FC0D85"/>
    <w:rsid w:val="00FC0F1A"/>
    <w:rsid w:val="00FC158C"/>
    <w:rsid w:val="00FC15FC"/>
    <w:rsid w:val="00FC1E1D"/>
    <w:rsid w:val="00FC2074"/>
    <w:rsid w:val="00FC2303"/>
    <w:rsid w:val="00FC2732"/>
    <w:rsid w:val="00FC2E5B"/>
    <w:rsid w:val="00FC3326"/>
    <w:rsid w:val="00FC3750"/>
    <w:rsid w:val="00FC38CB"/>
    <w:rsid w:val="00FC3B24"/>
    <w:rsid w:val="00FC3CE1"/>
    <w:rsid w:val="00FC4275"/>
    <w:rsid w:val="00FC42F6"/>
    <w:rsid w:val="00FC434D"/>
    <w:rsid w:val="00FC4401"/>
    <w:rsid w:val="00FC44D2"/>
    <w:rsid w:val="00FC4BCF"/>
    <w:rsid w:val="00FC50F3"/>
    <w:rsid w:val="00FC51F1"/>
    <w:rsid w:val="00FC528D"/>
    <w:rsid w:val="00FC6368"/>
    <w:rsid w:val="00FC6698"/>
    <w:rsid w:val="00FC66A1"/>
    <w:rsid w:val="00FC6930"/>
    <w:rsid w:val="00FC6963"/>
    <w:rsid w:val="00FC6AA1"/>
    <w:rsid w:val="00FC6B09"/>
    <w:rsid w:val="00FC74EC"/>
    <w:rsid w:val="00FC7792"/>
    <w:rsid w:val="00FC7CEE"/>
    <w:rsid w:val="00FC7F3D"/>
    <w:rsid w:val="00FD007F"/>
    <w:rsid w:val="00FD086E"/>
    <w:rsid w:val="00FD0DEC"/>
    <w:rsid w:val="00FD19AA"/>
    <w:rsid w:val="00FD272F"/>
    <w:rsid w:val="00FD27FD"/>
    <w:rsid w:val="00FD2AB1"/>
    <w:rsid w:val="00FD2DA7"/>
    <w:rsid w:val="00FD420F"/>
    <w:rsid w:val="00FD4278"/>
    <w:rsid w:val="00FD42BB"/>
    <w:rsid w:val="00FD4B35"/>
    <w:rsid w:val="00FD52A9"/>
    <w:rsid w:val="00FD5C1D"/>
    <w:rsid w:val="00FD5C2A"/>
    <w:rsid w:val="00FD5E76"/>
    <w:rsid w:val="00FD5EF2"/>
    <w:rsid w:val="00FD5F5C"/>
    <w:rsid w:val="00FD5FEA"/>
    <w:rsid w:val="00FD644B"/>
    <w:rsid w:val="00FD6521"/>
    <w:rsid w:val="00FD65A9"/>
    <w:rsid w:val="00FD67F2"/>
    <w:rsid w:val="00FD6A66"/>
    <w:rsid w:val="00FD70EB"/>
    <w:rsid w:val="00FD7DDA"/>
    <w:rsid w:val="00FE010B"/>
    <w:rsid w:val="00FE0840"/>
    <w:rsid w:val="00FE0A4F"/>
    <w:rsid w:val="00FE0A75"/>
    <w:rsid w:val="00FE0D1B"/>
    <w:rsid w:val="00FE1162"/>
    <w:rsid w:val="00FE1892"/>
    <w:rsid w:val="00FE1933"/>
    <w:rsid w:val="00FE1C4C"/>
    <w:rsid w:val="00FE1EA9"/>
    <w:rsid w:val="00FE1EF2"/>
    <w:rsid w:val="00FE2360"/>
    <w:rsid w:val="00FE2D9C"/>
    <w:rsid w:val="00FE401B"/>
    <w:rsid w:val="00FE46BD"/>
    <w:rsid w:val="00FE53C7"/>
    <w:rsid w:val="00FE55DB"/>
    <w:rsid w:val="00FE5CAB"/>
    <w:rsid w:val="00FE5EC5"/>
    <w:rsid w:val="00FE6826"/>
    <w:rsid w:val="00FE684E"/>
    <w:rsid w:val="00FE6B0F"/>
    <w:rsid w:val="00FE7065"/>
    <w:rsid w:val="00FE74D8"/>
    <w:rsid w:val="00FE7953"/>
    <w:rsid w:val="00FE7A06"/>
    <w:rsid w:val="00FE7A41"/>
    <w:rsid w:val="00FE7B8F"/>
    <w:rsid w:val="00FF0845"/>
    <w:rsid w:val="00FF0E69"/>
    <w:rsid w:val="00FF1184"/>
    <w:rsid w:val="00FF11D1"/>
    <w:rsid w:val="00FF1307"/>
    <w:rsid w:val="00FF1A89"/>
    <w:rsid w:val="00FF1B47"/>
    <w:rsid w:val="00FF2112"/>
    <w:rsid w:val="00FF23FF"/>
    <w:rsid w:val="00FF287E"/>
    <w:rsid w:val="00FF2BD9"/>
    <w:rsid w:val="00FF2E88"/>
    <w:rsid w:val="00FF2F26"/>
    <w:rsid w:val="00FF36C9"/>
    <w:rsid w:val="00FF3A98"/>
    <w:rsid w:val="00FF3E40"/>
    <w:rsid w:val="00FF40C9"/>
    <w:rsid w:val="00FF43B0"/>
    <w:rsid w:val="00FF4573"/>
    <w:rsid w:val="00FF4782"/>
    <w:rsid w:val="00FF4A30"/>
    <w:rsid w:val="00FF4CCD"/>
    <w:rsid w:val="00FF4E18"/>
    <w:rsid w:val="00FF52BA"/>
    <w:rsid w:val="00FF593B"/>
    <w:rsid w:val="00FF5A7E"/>
    <w:rsid w:val="00FF5C17"/>
    <w:rsid w:val="00FF6F5D"/>
    <w:rsid w:val="00FF707D"/>
    <w:rsid w:val="00FF747E"/>
    <w:rsid w:val="00FF76F7"/>
    <w:rsid w:val="00FF7736"/>
    <w:rsid w:val="00FF78F7"/>
    <w:rsid w:val="00FF7CFD"/>
    <w:rsid w:val="017353A8"/>
    <w:rsid w:val="4B7F4036"/>
    <w:rsid w:val="57BF89C9"/>
    <w:rsid w:val="5DFC54CC"/>
    <w:rsid w:val="65E613D9"/>
    <w:rsid w:val="682E08A8"/>
    <w:rsid w:val="73DF5CBB"/>
    <w:rsid w:val="78AD7BBA"/>
    <w:rsid w:val="7B5659A0"/>
    <w:rsid w:val="B1FEC1B7"/>
    <w:rsid w:val="BFFEC27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1"/>
      <w:szCs w:val="24"/>
      <w:lang w:val="en-US" w:eastAsia="zh-CN" w:bidi="ar-SA"/>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autoRedefine/>
    <w:semiHidden/>
    <w:qFormat/>
    <w:uiPriority w:val="0"/>
    <w:pPr>
      <w:ind w:left="1260"/>
      <w:jc w:val="left"/>
    </w:pPr>
    <w:rPr>
      <w:sz w:val="18"/>
      <w:szCs w:val="18"/>
    </w:rPr>
  </w:style>
  <w:style w:type="paragraph" w:styleId="3">
    <w:name w:val="Document Map"/>
    <w:basedOn w:val="1"/>
    <w:semiHidden/>
    <w:qFormat/>
    <w:uiPriority w:val="0"/>
    <w:pPr>
      <w:shd w:val="clear" w:color="auto" w:fill="000080"/>
    </w:pPr>
  </w:style>
  <w:style w:type="paragraph" w:styleId="4">
    <w:name w:val="annotation text"/>
    <w:basedOn w:val="1"/>
    <w:link w:val="5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style>
  <w:style w:type="paragraph" w:styleId="7">
    <w:name w:val="toc 5"/>
    <w:basedOn w:val="1"/>
    <w:next w:val="1"/>
    <w:autoRedefine/>
    <w:semiHidden/>
    <w:qFormat/>
    <w:uiPriority w:val="0"/>
    <w:pPr>
      <w:ind w:left="840"/>
      <w:jc w:val="left"/>
    </w:pPr>
    <w:rPr>
      <w:sz w:val="18"/>
      <w:szCs w:val="18"/>
    </w:rPr>
  </w:style>
  <w:style w:type="paragraph" w:styleId="8">
    <w:name w:val="toc 3"/>
    <w:basedOn w:val="1"/>
    <w:next w:val="1"/>
    <w:autoRedefine/>
    <w:semiHidden/>
    <w:qFormat/>
    <w:uiPriority w:val="0"/>
    <w:pPr>
      <w:ind w:left="420"/>
      <w:jc w:val="left"/>
    </w:pPr>
    <w:rPr>
      <w:i/>
      <w:iCs/>
      <w:sz w:val="20"/>
      <w:szCs w:val="20"/>
    </w:rPr>
  </w:style>
  <w:style w:type="paragraph" w:styleId="9">
    <w:name w:val="toc 8"/>
    <w:basedOn w:val="1"/>
    <w:next w:val="1"/>
    <w:autoRedefine/>
    <w:semiHidden/>
    <w:qFormat/>
    <w:uiPriority w:val="0"/>
    <w:pPr>
      <w:ind w:left="1470"/>
      <w:jc w:val="left"/>
    </w:pPr>
    <w:rPr>
      <w:sz w:val="18"/>
      <w:szCs w:val="18"/>
    </w:rPr>
  </w:style>
  <w:style w:type="paragraph" w:styleId="10">
    <w:name w:val="Balloon Text"/>
    <w:basedOn w:val="1"/>
    <w:semiHidden/>
    <w:qFormat/>
    <w:uiPriority w:val="0"/>
    <w:rPr>
      <w:sz w:val="18"/>
      <w:szCs w:val="18"/>
    </w:rPr>
  </w:style>
  <w:style w:type="paragraph" w:styleId="11">
    <w:name w:val="footer"/>
    <w:basedOn w:val="1"/>
    <w:link w:val="53"/>
    <w:qFormat/>
    <w:uiPriority w:val="99"/>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pPr>
      <w:spacing w:before="120" w:after="120"/>
      <w:jc w:val="left"/>
    </w:pPr>
    <w:rPr>
      <w:b/>
      <w:bCs/>
      <w:caps/>
      <w:sz w:val="20"/>
      <w:szCs w:val="20"/>
    </w:rPr>
  </w:style>
  <w:style w:type="paragraph" w:styleId="14">
    <w:name w:val="toc 4"/>
    <w:basedOn w:val="1"/>
    <w:next w:val="1"/>
    <w:autoRedefine/>
    <w:semiHidden/>
    <w:qFormat/>
    <w:uiPriority w:val="0"/>
    <w:pPr>
      <w:ind w:left="630"/>
      <w:jc w:val="left"/>
    </w:pPr>
    <w:rPr>
      <w:sz w:val="18"/>
      <w:szCs w:val="18"/>
    </w:rPr>
  </w:style>
  <w:style w:type="paragraph" w:styleId="15">
    <w:name w:val="index heading"/>
    <w:basedOn w:val="1"/>
    <w:next w:val="16"/>
    <w:semiHidden/>
    <w:qFormat/>
    <w:uiPriority w:val="0"/>
    <w:rPr>
      <w:rFonts w:ascii="Arial" w:hAnsi="Arial" w:cs="Arial"/>
      <w:b/>
      <w:bCs/>
    </w:rPr>
  </w:style>
  <w:style w:type="paragraph" w:styleId="16">
    <w:name w:val="index 1"/>
    <w:basedOn w:val="1"/>
    <w:next w:val="1"/>
    <w:autoRedefine/>
    <w:semiHidden/>
    <w:qFormat/>
    <w:uiPriority w:val="0"/>
  </w:style>
  <w:style w:type="paragraph" w:styleId="17">
    <w:name w:val="footnote text"/>
    <w:basedOn w:val="1"/>
    <w:link w:val="68"/>
    <w:semiHidden/>
    <w:qFormat/>
    <w:uiPriority w:val="0"/>
    <w:pPr>
      <w:snapToGrid w:val="0"/>
      <w:jc w:val="left"/>
    </w:pPr>
    <w:rPr>
      <w:sz w:val="18"/>
      <w:szCs w:val="18"/>
    </w:rPr>
  </w:style>
  <w:style w:type="paragraph" w:styleId="18">
    <w:name w:val="toc 6"/>
    <w:basedOn w:val="1"/>
    <w:next w:val="1"/>
    <w:autoRedefine/>
    <w:semiHidden/>
    <w:qFormat/>
    <w:uiPriority w:val="0"/>
    <w:pPr>
      <w:ind w:left="1050"/>
      <w:jc w:val="left"/>
    </w:pPr>
    <w:rPr>
      <w:sz w:val="18"/>
      <w:szCs w:val="18"/>
    </w:rPr>
  </w:style>
  <w:style w:type="paragraph" w:styleId="19">
    <w:name w:val="toc 2"/>
    <w:basedOn w:val="1"/>
    <w:next w:val="1"/>
    <w:autoRedefine/>
    <w:semiHidden/>
    <w:qFormat/>
    <w:uiPriority w:val="0"/>
    <w:pPr>
      <w:ind w:left="210"/>
      <w:jc w:val="left"/>
    </w:pPr>
    <w:rPr>
      <w:smallCaps/>
      <w:sz w:val="20"/>
      <w:szCs w:val="20"/>
    </w:rPr>
  </w:style>
  <w:style w:type="paragraph" w:styleId="20">
    <w:name w:val="toc 9"/>
    <w:basedOn w:val="1"/>
    <w:next w:val="1"/>
    <w:autoRedefine/>
    <w:semiHidden/>
    <w:qFormat/>
    <w:uiPriority w:val="0"/>
    <w:pPr>
      <w:ind w:left="1680"/>
      <w:jc w:val="left"/>
    </w:pPr>
    <w:rPr>
      <w:sz w:val="18"/>
      <w:szCs w:val="18"/>
    </w:rPr>
  </w:style>
  <w:style w:type="paragraph" w:styleId="21">
    <w:name w:val="annotation subject"/>
    <w:basedOn w:val="4"/>
    <w:next w:val="4"/>
    <w:semiHidden/>
    <w:qFormat/>
    <w:uiPriority w:val="0"/>
    <w:rPr>
      <w:b/>
      <w:bCs/>
    </w:rPr>
  </w:style>
  <w:style w:type="character" w:styleId="24">
    <w:name w:val="Strong"/>
    <w:qFormat/>
    <w:uiPriority w:val="0"/>
    <w:rPr>
      <w:b/>
      <w:bCs/>
    </w:rPr>
  </w:style>
  <w:style w:type="character" w:styleId="25">
    <w:name w:val="page number"/>
    <w:basedOn w:val="23"/>
    <w:qFormat/>
    <w:uiPriority w:val="0"/>
  </w:style>
  <w:style w:type="character" w:styleId="26">
    <w:name w:val="FollowedHyperlink"/>
    <w:qFormat/>
    <w:uiPriority w:val="0"/>
    <w:rPr>
      <w:color w:val="800080"/>
      <w:u w:val="single"/>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character" w:styleId="29">
    <w:name w:val="footnote reference"/>
    <w:semiHidden/>
    <w:qFormat/>
    <w:uiPriority w:val="0"/>
    <w:rPr>
      <w:vertAlign w:val="superscript"/>
    </w:rPr>
  </w:style>
  <w:style w:type="paragraph" w:customStyle="1" w:styleId="30">
    <w:name w:val="1"/>
    <w:basedOn w:val="1"/>
    <w:next w:val="6"/>
    <w:qFormat/>
    <w:uiPriority w:val="0"/>
    <w:pPr>
      <w:spacing w:line="360" w:lineRule="auto"/>
      <w:ind w:firstLine="376"/>
    </w:pPr>
    <w:rPr>
      <w:sz w:val="24"/>
    </w:rPr>
  </w:style>
  <w:style w:type="character" w:customStyle="1" w:styleId="31">
    <w:name w:val="DeltaView Insertion"/>
    <w:qFormat/>
    <w:uiPriority w:val="0"/>
    <w:rPr>
      <w:color w:val="0000FF"/>
      <w:u w:val="double"/>
    </w:rPr>
  </w:style>
  <w:style w:type="paragraph" w:customStyle="1" w:styleId="32">
    <w:name w:val="FWB_L2"/>
    <w:basedOn w:val="1"/>
    <w:qFormat/>
    <w:uiPriority w:val="0"/>
    <w:pPr>
      <w:widowControl/>
      <w:numPr>
        <w:ilvl w:val="1"/>
        <w:numId w:val="1"/>
      </w:numPr>
      <w:spacing w:after="240"/>
    </w:pPr>
    <w:rPr>
      <w:kern w:val="0"/>
      <w:sz w:val="24"/>
      <w:szCs w:val="20"/>
      <w:lang w:val="en-GB" w:eastAsia="en-US"/>
    </w:rPr>
  </w:style>
  <w:style w:type="paragraph" w:customStyle="1" w:styleId="33">
    <w:name w:val="FWB_L3"/>
    <w:basedOn w:val="32"/>
    <w:qFormat/>
    <w:uiPriority w:val="0"/>
    <w:pPr>
      <w:numPr>
        <w:ilvl w:val="2"/>
      </w:numPr>
    </w:pPr>
  </w:style>
  <w:style w:type="paragraph" w:customStyle="1" w:styleId="34">
    <w:name w:val="FWB_L4"/>
    <w:basedOn w:val="33"/>
    <w:qFormat/>
    <w:uiPriority w:val="0"/>
    <w:pPr>
      <w:numPr>
        <w:ilvl w:val="3"/>
      </w:numPr>
    </w:pPr>
  </w:style>
  <w:style w:type="paragraph" w:customStyle="1" w:styleId="35">
    <w:name w:val="FWB_L5"/>
    <w:basedOn w:val="34"/>
    <w:qFormat/>
    <w:uiPriority w:val="0"/>
    <w:pPr>
      <w:numPr>
        <w:ilvl w:val="4"/>
      </w:numPr>
    </w:pPr>
  </w:style>
  <w:style w:type="paragraph" w:customStyle="1" w:styleId="36">
    <w:name w:val="FWB_L6"/>
    <w:basedOn w:val="35"/>
    <w:qFormat/>
    <w:uiPriority w:val="0"/>
    <w:pPr>
      <w:numPr>
        <w:ilvl w:val="5"/>
      </w:numPr>
    </w:pPr>
  </w:style>
  <w:style w:type="paragraph" w:customStyle="1" w:styleId="37">
    <w:name w:val="FWB_L7"/>
    <w:basedOn w:val="36"/>
    <w:qFormat/>
    <w:uiPriority w:val="0"/>
    <w:pPr>
      <w:numPr>
        <w:ilvl w:val="6"/>
      </w:numPr>
    </w:pPr>
  </w:style>
  <w:style w:type="paragraph" w:customStyle="1" w:styleId="38">
    <w:name w:val="FWB_L8"/>
    <w:basedOn w:val="37"/>
    <w:qFormat/>
    <w:uiPriority w:val="0"/>
    <w:pPr>
      <w:numPr>
        <w:ilvl w:val="7"/>
      </w:numPr>
    </w:pPr>
  </w:style>
  <w:style w:type="paragraph" w:customStyle="1" w:styleId="39">
    <w:name w:val="(a)"/>
    <w:basedOn w:val="5"/>
    <w:qFormat/>
    <w:uiPriority w:val="0"/>
    <w:pPr>
      <w:widowControl/>
      <w:spacing w:after="240"/>
      <w:ind w:left="720" w:hanging="720"/>
    </w:pPr>
    <w:rPr>
      <w:bCs/>
      <w:kern w:val="0"/>
      <w:sz w:val="24"/>
      <w:lang w:val="en-GB" w:eastAsia="en-US"/>
    </w:rPr>
  </w:style>
  <w:style w:type="paragraph" w:customStyle="1" w:styleId="40">
    <w:name w:val="FWB_L1"/>
    <w:basedOn w:val="1"/>
    <w:next w:val="32"/>
    <w:qFormat/>
    <w:uiPriority w:val="0"/>
    <w:pPr>
      <w:keepNext/>
      <w:keepLines/>
      <w:widowControl/>
      <w:tabs>
        <w:tab w:val="left" w:pos="720"/>
      </w:tabs>
      <w:spacing w:after="240"/>
      <w:jc w:val="left"/>
      <w:outlineLvl w:val="0"/>
    </w:pPr>
    <w:rPr>
      <w:b/>
      <w:smallCaps/>
      <w:kern w:val="0"/>
      <w:sz w:val="24"/>
      <w:szCs w:val="20"/>
      <w:lang w:val="en-GB" w:eastAsia="en-US"/>
    </w:rPr>
  </w:style>
  <w:style w:type="paragraph" w:customStyle="1" w:styleId="41">
    <w:name w:val="Index Heading 2"/>
    <w:basedOn w:val="15"/>
    <w:qFormat/>
    <w:uiPriority w:val="0"/>
    <w:pPr>
      <w:widowControl/>
      <w:tabs>
        <w:tab w:val="right" w:pos="8280"/>
      </w:tabs>
      <w:spacing w:after="480"/>
      <w:jc w:val="left"/>
    </w:pPr>
    <w:rPr>
      <w:rFonts w:ascii="Times New Roman" w:hAnsi="Times New Roman" w:cs="Times New Roman"/>
      <w:bCs w:val="0"/>
      <w:caps/>
      <w:kern w:val="0"/>
      <w:sz w:val="24"/>
      <w:lang w:val="en-GB" w:eastAsia="en-US"/>
    </w:rPr>
  </w:style>
  <w:style w:type="paragraph" w:customStyle="1" w:styleId="42">
    <w:name w:val="FWParties"/>
    <w:basedOn w:val="5"/>
    <w:qFormat/>
    <w:uiPriority w:val="0"/>
    <w:pPr>
      <w:widowControl/>
      <w:tabs>
        <w:tab w:val="left" w:pos="425"/>
      </w:tabs>
      <w:spacing w:after="240"/>
      <w:ind w:left="425" w:hanging="425"/>
    </w:pPr>
    <w:rPr>
      <w:bCs/>
      <w:kern w:val="0"/>
      <w:sz w:val="24"/>
      <w:lang w:val="en-GB" w:eastAsia="en-US"/>
    </w:rPr>
  </w:style>
  <w:style w:type="paragraph" w:customStyle="1" w:styleId="43">
    <w:name w:val="FWB Cont 2"/>
    <w:basedOn w:val="1"/>
    <w:qFormat/>
    <w:uiPriority w:val="0"/>
    <w:pPr>
      <w:widowControl/>
      <w:spacing w:after="240"/>
    </w:pPr>
    <w:rPr>
      <w:kern w:val="0"/>
      <w:sz w:val="24"/>
      <w:szCs w:val="20"/>
      <w:lang w:val="en-GB" w:eastAsia="en-US"/>
    </w:rPr>
  </w:style>
  <w:style w:type="paragraph" w:customStyle="1" w:styleId="44">
    <w:name w:val="字元 字元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5">
    <w:name w:val="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6">
    <w:name w:val="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7">
    <w:name w:val="Char Char1"/>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8">
    <w:name w:val="Char Char Char Char Char Char Char Char Char Char"/>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49">
    <w:name w:val="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50">
    <w:name w:val="彩色列表 - 强调文字颜色 11"/>
    <w:basedOn w:val="1"/>
    <w:qFormat/>
    <w:uiPriority w:val="34"/>
    <w:pPr>
      <w:ind w:firstLine="420" w:firstLineChars="200"/>
    </w:pPr>
  </w:style>
  <w:style w:type="character" w:customStyle="1" w:styleId="51">
    <w:name w:val="批注文字 字符"/>
    <w:link w:val="4"/>
    <w:qFormat/>
    <w:uiPriority w:val="0"/>
    <w:rPr>
      <w:kern w:val="2"/>
      <w:sz w:val="21"/>
      <w:szCs w:val="24"/>
    </w:rPr>
  </w:style>
  <w:style w:type="paragraph" w:customStyle="1" w:styleId="52">
    <w:name w:val="字元 字元 Char Char Char Char1"/>
    <w:basedOn w:val="1"/>
    <w:qFormat/>
    <w:uiPriority w:val="0"/>
    <w:pPr>
      <w:widowControl/>
      <w:spacing w:after="160" w:line="240" w:lineRule="exact"/>
      <w:jc w:val="left"/>
    </w:pPr>
    <w:rPr>
      <w:rFonts w:ascii="Verdana" w:hAnsi="Verdana" w:eastAsia="Times New Roman"/>
      <w:kern w:val="0"/>
      <w:sz w:val="20"/>
      <w:szCs w:val="20"/>
      <w:lang w:eastAsia="en-US"/>
    </w:rPr>
  </w:style>
  <w:style w:type="character" w:customStyle="1" w:styleId="53">
    <w:name w:val="页脚 字符"/>
    <w:link w:val="11"/>
    <w:qFormat/>
    <w:uiPriority w:val="99"/>
    <w:rPr>
      <w:kern w:val="2"/>
      <w:sz w:val="18"/>
      <w:szCs w:val="18"/>
    </w:rPr>
  </w:style>
  <w:style w:type="paragraph" w:customStyle="1" w:styleId="54">
    <w:name w:val="Char Char3"/>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55">
    <w:name w:val="字元 字元 Char Char Char Char3"/>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56">
    <w:name w:val="字元 字元 Char Char Char Char2"/>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57">
    <w:name w:val="彩色底纹 - 强调文字颜色 31"/>
    <w:basedOn w:val="1"/>
    <w:qFormat/>
    <w:uiPriority w:val="34"/>
    <w:pPr>
      <w:ind w:firstLine="420" w:firstLineChars="200"/>
    </w:pPr>
  </w:style>
  <w:style w:type="paragraph" w:customStyle="1" w:styleId="58">
    <w:name w:val="深色列表 - 强调文字颜色 31"/>
    <w:hidden/>
    <w:semiHidden/>
    <w:qFormat/>
    <w:uiPriority w:val="99"/>
    <w:rPr>
      <w:rFonts w:ascii="Cambria" w:hAnsi="Cambria" w:eastAsia="宋体" w:cs="Times New Roman"/>
      <w:kern w:val="2"/>
      <w:sz w:val="21"/>
      <w:szCs w:val="24"/>
      <w:lang w:val="en-US" w:eastAsia="zh-CN" w:bidi="ar-SA"/>
    </w:rPr>
  </w:style>
  <w:style w:type="paragraph" w:customStyle="1" w:styleId="59">
    <w:name w:val="浅色网格 - 强调文字颜色 31"/>
    <w:basedOn w:val="1"/>
    <w:qFormat/>
    <w:uiPriority w:val="34"/>
    <w:pPr>
      <w:ind w:firstLine="420" w:firstLineChars="200"/>
    </w:pPr>
  </w:style>
  <w:style w:type="paragraph" w:customStyle="1" w:styleId="60">
    <w:name w:val="字元 字元 Char Char Char Char4"/>
    <w:basedOn w:val="1"/>
    <w:qFormat/>
    <w:uiPriority w:val="0"/>
    <w:pPr>
      <w:widowControl/>
      <w:spacing w:after="160" w:line="240" w:lineRule="exact"/>
      <w:jc w:val="left"/>
    </w:pPr>
    <w:rPr>
      <w:rFonts w:ascii="Verdana" w:hAnsi="Verdana" w:eastAsia="Times New Roman"/>
      <w:kern w:val="0"/>
      <w:sz w:val="20"/>
      <w:szCs w:val="20"/>
      <w:lang w:eastAsia="en-US"/>
    </w:rPr>
  </w:style>
  <w:style w:type="paragraph" w:customStyle="1" w:styleId="61">
    <w:name w:val="中等深浅网格 1 - 强调文字颜色 21"/>
    <w:basedOn w:val="1"/>
    <w:qFormat/>
    <w:uiPriority w:val="0"/>
    <w:pPr>
      <w:ind w:firstLine="420" w:firstLineChars="200"/>
    </w:pPr>
  </w:style>
  <w:style w:type="paragraph" w:customStyle="1" w:styleId="62">
    <w:name w:val="中等深浅列表 2 - 强调文字颜色 21"/>
    <w:hidden/>
    <w:semiHidden/>
    <w:qFormat/>
    <w:uiPriority w:val="99"/>
    <w:rPr>
      <w:rFonts w:ascii="Cambria" w:hAnsi="Cambria" w:eastAsia="宋体" w:cs="Times New Roman"/>
      <w:kern w:val="2"/>
      <w:sz w:val="21"/>
      <w:szCs w:val="24"/>
      <w:lang w:val="en-US" w:eastAsia="zh-CN" w:bidi="ar-SA"/>
    </w:rPr>
  </w:style>
  <w:style w:type="paragraph" w:customStyle="1" w:styleId="63">
    <w:name w:val="彩色底纹 - 强调文字颜色 11"/>
    <w:hidden/>
    <w:semiHidden/>
    <w:qFormat/>
    <w:uiPriority w:val="99"/>
    <w:rPr>
      <w:rFonts w:ascii="Cambria" w:hAnsi="Cambria" w:eastAsia="宋体" w:cs="Times New Roman"/>
      <w:kern w:val="2"/>
      <w:sz w:val="21"/>
      <w:szCs w:val="24"/>
      <w:lang w:val="en-US" w:eastAsia="zh-CN" w:bidi="ar-SA"/>
    </w:rPr>
  </w:style>
  <w:style w:type="paragraph" w:customStyle="1" w:styleId="64">
    <w:name w:val="修订1"/>
    <w:hidden/>
    <w:semiHidden/>
    <w:qFormat/>
    <w:uiPriority w:val="99"/>
    <w:rPr>
      <w:rFonts w:ascii="Cambria" w:hAnsi="Cambria" w:eastAsia="宋体" w:cs="Times New Roman"/>
      <w:kern w:val="2"/>
      <w:sz w:val="21"/>
      <w:szCs w:val="24"/>
      <w:lang w:val="en-US" w:eastAsia="zh-CN" w:bidi="ar-SA"/>
    </w:rPr>
  </w:style>
  <w:style w:type="paragraph" w:styleId="65">
    <w:name w:val="List Paragraph"/>
    <w:basedOn w:val="1"/>
    <w:qFormat/>
    <w:uiPriority w:val="34"/>
    <w:pPr>
      <w:ind w:firstLine="420" w:firstLineChars="200"/>
    </w:pPr>
  </w:style>
  <w:style w:type="paragraph" w:customStyle="1" w:styleId="66">
    <w:name w:val="样式1"/>
    <w:basedOn w:val="1"/>
    <w:link w:val="69"/>
    <w:qFormat/>
    <w:uiPriority w:val="0"/>
    <w:pPr>
      <w:tabs>
        <w:tab w:val="left" w:pos="425"/>
        <w:tab w:val="left" w:pos="862"/>
        <w:tab w:val="left" w:pos="1288"/>
      </w:tabs>
      <w:spacing w:beforeLines="50" w:afterLines="50" w:line="360" w:lineRule="auto"/>
      <w:ind w:left="1288" w:hanging="720"/>
    </w:pPr>
    <w:rPr>
      <w:rFonts w:ascii="Times New Roman" w:hAnsi="Times New Roman" w:eastAsia="楷体_GB2312"/>
      <w:bCs/>
      <w:sz w:val="24"/>
    </w:rPr>
  </w:style>
  <w:style w:type="paragraph" w:customStyle="1" w:styleId="67">
    <w:name w:val="修订2"/>
    <w:hidden/>
    <w:unhideWhenUsed/>
    <w:qFormat/>
    <w:uiPriority w:val="99"/>
    <w:rPr>
      <w:rFonts w:ascii="Cambria" w:hAnsi="Cambria" w:eastAsia="宋体" w:cs="Times New Roman"/>
      <w:kern w:val="2"/>
      <w:sz w:val="21"/>
      <w:szCs w:val="24"/>
      <w:lang w:val="en-US" w:eastAsia="zh-CN" w:bidi="ar-SA"/>
    </w:rPr>
  </w:style>
  <w:style w:type="character" w:customStyle="1" w:styleId="68">
    <w:name w:val="脚注文本 字符"/>
    <w:basedOn w:val="23"/>
    <w:link w:val="17"/>
    <w:semiHidden/>
    <w:qFormat/>
    <w:uiPriority w:val="0"/>
    <w:rPr>
      <w:kern w:val="2"/>
      <w:sz w:val="18"/>
      <w:szCs w:val="18"/>
    </w:rPr>
  </w:style>
  <w:style w:type="character" w:customStyle="1" w:styleId="69">
    <w:name w:val="样式1 Char"/>
    <w:link w:val="66"/>
    <w:qFormat/>
    <w:uiPriority w:val="0"/>
    <w:rPr>
      <w:rFonts w:ascii="Times New Roman" w:hAnsi="Times New Roman" w:eastAsia="楷体_GB2312"/>
      <w:bCs/>
      <w:kern w:val="2"/>
      <w:sz w:val="24"/>
      <w:szCs w:val="24"/>
    </w:rPr>
  </w:style>
  <w:style w:type="paragraph" w:customStyle="1" w:styleId="70">
    <w:name w:val="修订3"/>
    <w:hidden/>
    <w:unhideWhenUsed/>
    <w:qFormat/>
    <w:uiPriority w:val="99"/>
    <w:rPr>
      <w:rFonts w:ascii="Cambria" w:hAnsi="Cambria" w:eastAsia="宋体" w:cs="Times New Roman"/>
      <w:kern w:val="2"/>
      <w:sz w:val="21"/>
      <w:szCs w:val="24"/>
      <w:lang w:val="en-US" w:eastAsia="zh-CN" w:bidi="ar-SA"/>
    </w:rPr>
  </w:style>
  <w:style w:type="paragraph" w:customStyle="1" w:styleId="71">
    <w:name w:val="Revision"/>
    <w:hidden/>
    <w:unhideWhenUsed/>
    <w:qFormat/>
    <w:uiPriority w:val="99"/>
    <w:rPr>
      <w:rFonts w:ascii="Cambria" w:hAnsi="Cambria"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42</Pages>
  <Words>26114</Words>
  <Characters>26280</Characters>
  <Lines>196</Lines>
  <Paragraphs>55</Paragraphs>
  <TotalTime>966</TotalTime>
  <ScaleCrop>false</ScaleCrop>
  <LinksUpToDate>false</LinksUpToDate>
  <CharactersWithSpaces>26347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2026-02-10T13:01:00Z</dcterms:created>
  <dc:creator>中伦证券化团队</dc:creator>
  <cp:lastModifiedBy>赵澍</cp:lastModifiedBy>
  <dcterms:modified xsi:type="dcterms:W3CDTF">2026-05-06T06:21:00Z</dcterms:modified>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CCAA6sHsCh+nbOv4zcCDwEI51s17+lZeh/x6KQhA5DQ+yiTq+FmGliX6x01oyGbZY7lfBbKF45QiiPVt_x000d_
NjUf4p5lEKfwlyThFQLobOtQBJNs5vvcSLuby/vc70HEBYQov6D0</vt:lpwstr>
  </property>
  <property fmtid="{D5CDD505-2E9C-101B-9397-08002B2CF9AE}" pid="3" name="RESPONSE_SENDER_NAME">
    <vt:lpwstr>gAAAdya76B99d4hLGUR1rQ+8TxTv0GGEPdix</vt:lpwstr>
  </property>
  <property fmtid="{D5CDD505-2E9C-101B-9397-08002B2CF9AE}" pid="4" name="EMAIL_OWNER_ADDRESS">
    <vt:lpwstr>4AAA6DouqOs9baEQvW9Tss2MRruwWZu5o0DAI/gpnm/F0zCyXWx7hY9+lg==</vt:lpwstr>
  </property>
  <property fmtid="{D5CDD505-2E9C-101B-9397-08002B2CF9AE}" pid="5" name="KSOTemplateDocerSaveRecord">
    <vt:lpwstr>eyJoZGlkIjoiOTc3M2Y5NzIzMDFlZjAyY2Q4Njk5ODkyYjFjNzBiNTQiLCJ1c2VySWQiOiI1MDczOTAyNjIifQ==</vt:lpwstr>
  </property>
  <property fmtid="{D5CDD505-2E9C-101B-9397-08002B2CF9AE}" pid="6" name="KSOProductBuildVer">
    <vt:lpwstr>2052-12.1.0.25865</vt:lpwstr>
  </property>
  <property fmtid="{D5CDD505-2E9C-101B-9397-08002B2CF9AE}" pid="7" name="ICV">
    <vt:lpwstr>2121EE1CD69F485B82D7706FAB9DFDFC_13</vt:lpwstr>
  </property>
</Properties>
</file>